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117" w:rsidRPr="0021286E" w:rsidRDefault="00F20117" w:rsidP="00F20117">
      <w:pPr>
        <w:spacing w:after="27"/>
        <w:ind w:left="44"/>
        <w:rPr>
          <w:rFonts w:ascii="Arial" w:hAnsi="Arial" w:cs="Arial"/>
          <w:sz w:val="20"/>
        </w:rPr>
      </w:pPr>
      <w:r w:rsidRPr="0021286E">
        <w:rPr>
          <w:rFonts w:ascii="Arial" w:eastAsia="Arial" w:hAnsi="Arial" w:cs="Arial"/>
          <w:b/>
          <w:sz w:val="20"/>
        </w:rPr>
        <w:t xml:space="preserve">BASES DEL LLAMADO PÚBLICO A EXPRESIÓN DE INTERÉS PARA </w:t>
      </w:r>
      <w:r>
        <w:rPr>
          <w:rFonts w:ascii="Arial" w:eastAsia="Arial" w:hAnsi="Arial" w:cs="Arial"/>
          <w:b/>
          <w:sz w:val="20"/>
        </w:rPr>
        <w:t>LA CESIÓN TOTAL DEL</w:t>
      </w:r>
      <w:r w:rsidRPr="0021286E">
        <w:rPr>
          <w:rFonts w:ascii="Arial" w:eastAsia="Arial" w:hAnsi="Arial" w:cs="Arial"/>
          <w:b/>
          <w:sz w:val="20"/>
        </w:rPr>
        <w:t xml:space="preserve"> CRÉDITO RECLAMADO JUDICIALMENTE POR EL BANCO DE LA REPÚBLICA ORIENTAL DEL URUGUAY</w:t>
      </w:r>
    </w:p>
    <w:p w:rsidR="00F20117" w:rsidRPr="0021286E" w:rsidRDefault="00F20117" w:rsidP="00F20117">
      <w:pPr>
        <w:spacing w:after="101"/>
        <w:rPr>
          <w:rFonts w:ascii="Arial" w:hAnsi="Arial" w:cs="Arial"/>
          <w:sz w:val="20"/>
        </w:rPr>
      </w:pPr>
      <w:r w:rsidRPr="0021286E">
        <w:rPr>
          <w:rFonts w:ascii="Arial" w:eastAsia="Arial" w:hAnsi="Arial" w:cs="Arial"/>
          <w:b/>
          <w:sz w:val="20"/>
        </w:rPr>
        <w:t xml:space="preserve"> </w:t>
      </w:r>
    </w:p>
    <w:p w:rsidR="00F20117" w:rsidRPr="0021286E" w:rsidRDefault="00F20117" w:rsidP="00F20117">
      <w:pPr>
        <w:numPr>
          <w:ilvl w:val="0"/>
          <w:numId w:val="22"/>
        </w:numPr>
        <w:spacing w:after="69" w:line="259" w:lineRule="auto"/>
        <w:ind w:hanging="233"/>
        <w:jc w:val="left"/>
        <w:rPr>
          <w:rFonts w:ascii="Arial" w:hAnsi="Arial" w:cs="Arial"/>
          <w:color w:val="FF0000"/>
          <w:sz w:val="20"/>
        </w:rPr>
      </w:pPr>
      <w:r w:rsidRPr="0021286E">
        <w:rPr>
          <w:rFonts w:ascii="Arial" w:eastAsia="Arial" w:hAnsi="Arial" w:cs="Arial"/>
          <w:b/>
          <w:sz w:val="20"/>
        </w:rPr>
        <w:t>N° DE REFERENCIA</w:t>
      </w:r>
      <w:r>
        <w:rPr>
          <w:rFonts w:ascii="Arial" w:hAnsi="Arial" w:cs="Arial"/>
          <w:sz w:val="20"/>
        </w:rPr>
        <w:t xml:space="preserve">: </w:t>
      </w:r>
      <w:r w:rsidRPr="008446B6">
        <w:rPr>
          <w:rFonts w:ascii="Arial" w:hAnsi="Arial" w:cs="Arial"/>
          <w:b/>
          <w:sz w:val="20"/>
        </w:rPr>
        <w:t>N°</w:t>
      </w:r>
      <w:r>
        <w:rPr>
          <w:rFonts w:ascii="Arial" w:hAnsi="Arial" w:cs="Arial"/>
          <w:sz w:val="20"/>
        </w:rPr>
        <w:t xml:space="preserve"> </w:t>
      </w:r>
      <w:r w:rsidRPr="00C82FB8">
        <w:rPr>
          <w:rFonts w:ascii="Arial" w:hAnsi="Arial" w:cs="Arial"/>
          <w:b/>
          <w:sz w:val="20"/>
        </w:rPr>
        <w:t>2023/51/03851</w:t>
      </w:r>
    </w:p>
    <w:p w:rsidR="00F20117" w:rsidRPr="0021286E" w:rsidRDefault="00F20117" w:rsidP="00F20117">
      <w:pPr>
        <w:numPr>
          <w:ilvl w:val="0"/>
          <w:numId w:val="22"/>
        </w:numPr>
        <w:spacing w:after="98" w:line="259" w:lineRule="auto"/>
        <w:ind w:hanging="233"/>
        <w:jc w:val="left"/>
        <w:rPr>
          <w:rFonts w:ascii="Arial" w:hAnsi="Arial" w:cs="Arial"/>
          <w:sz w:val="20"/>
        </w:rPr>
      </w:pPr>
      <w:r w:rsidRPr="0021286E">
        <w:rPr>
          <w:rFonts w:ascii="Arial" w:hAnsi="Arial" w:cs="Arial"/>
          <w:sz w:val="20"/>
          <w:u w:val="single" w:color="000000"/>
        </w:rPr>
        <w:t>BASES DEL LLAMADO</w:t>
      </w:r>
      <w:r w:rsidRPr="0021286E">
        <w:rPr>
          <w:rFonts w:ascii="Arial" w:hAnsi="Arial" w:cs="Arial"/>
          <w:sz w:val="20"/>
        </w:rPr>
        <w:t xml:space="preserve">:  </w:t>
      </w:r>
    </w:p>
    <w:p w:rsidR="00F20117" w:rsidRDefault="00F20117" w:rsidP="00F20117">
      <w:pPr>
        <w:numPr>
          <w:ilvl w:val="1"/>
          <w:numId w:val="22"/>
        </w:numPr>
        <w:spacing w:after="3" w:line="362" w:lineRule="auto"/>
        <w:ind w:right="55" w:hanging="410"/>
        <w:rPr>
          <w:rFonts w:ascii="Arial" w:hAnsi="Arial" w:cs="Arial"/>
          <w:sz w:val="20"/>
        </w:rPr>
      </w:pPr>
      <w:r w:rsidRPr="0021286E">
        <w:rPr>
          <w:rFonts w:ascii="Arial" w:hAnsi="Arial" w:cs="Arial"/>
          <w:sz w:val="20"/>
        </w:rPr>
        <w:t xml:space="preserve">POSTULANTES: Podrán participar del llamado cualquier persona de naturaleza física o jurídica. Las ofertas presentadas por funcionarios del BROU, o por firmas, empresas o entidades con las cuales el funcionario esté vinculado por razones de propiedad o dirección, no serán de recibo. </w:t>
      </w:r>
    </w:p>
    <w:p w:rsidR="00F20117" w:rsidRPr="00006F14" w:rsidRDefault="00F20117" w:rsidP="00F20117">
      <w:pPr>
        <w:numPr>
          <w:ilvl w:val="1"/>
          <w:numId w:val="22"/>
        </w:numPr>
        <w:spacing w:after="3" w:line="362" w:lineRule="auto"/>
        <w:ind w:right="55" w:hanging="410"/>
        <w:rPr>
          <w:rFonts w:ascii="Arial" w:hAnsi="Arial" w:cs="Arial"/>
          <w:sz w:val="20"/>
        </w:rPr>
      </w:pPr>
      <w:r w:rsidRPr="00006F14">
        <w:rPr>
          <w:rFonts w:ascii="Arial" w:hAnsi="Arial" w:cs="Arial"/>
          <w:b/>
          <w:sz w:val="20"/>
        </w:rPr>
        <w:t>Precio base: U$S 1:</w:t>
      </w:r>
      <w:r>
        <w:rPr>
          <w:rFonts w:ascii="Arial" w:hAnsi="Arial" w:cs="Arial"/>
          <w:b/>
          <w:sz w:val="20"/>
        </w:rPr>
        <w:t>300</w:t>
      </w:r>
      <w:r w:rsidRPr="00006F14">
        <w:rPr>
          <w:rFonts w:ascii="Arial" w:hAnsi="Arial" w:cs="Arial"/>
          <w:b/>
          <w:sz w:val="20"/>
        </w:rPr>
        <w:t xml:space="preserve">.000 (Dólares Usa un millón </w:t>
      </w:r>
      <w:r>
        <w:rPr>
          <w:rFonts w:ascii="Arial" w:hAnsi="Arial" w:cs="Arial"/>
          <w:b/>
          <w:sz w:val="20"/>
        </w:rPr>
        <w:t>trescientos</w:t>
      </w:r>
      <w:r w:rsidRPr="00006F14">
        <w:rPr>
          <w:rFonts w:ascii="Arial" w:hAnsi="Arial" w:cs="Arial"/>
          <w:b/>
          <w:sz w:val="20"/>
        </w:rPr>
        <w:t xml:space="preserve"> mil).</w:t>
      </w:r>
    </w:p>
    <w:p w:rsidR="00F20117" w:rsidRPr="0021286E" w:rsidRDefault="00F20117" w:rsidP="00F20117">
      <w:pPr>
        <w:numPr>
          <w:ilvl w:val="1"/>
          <w:numId w:val="22"/>
        </w:numPr>
        <w:spacing w:after="181" w:line="259" w:lineRule="auto"/>
        <w:ind w:right="55" w:hanging="410"/>
        <w:rPr>
          <w:rFonts w:ascii="Arial" w:hAnsi="Arial" w:cs="Arial"/>
          <w:sz w:val="20"/>
        </w:rPr>
      </w:pPr>
      <w:r w:rsidRPr="0021286E">
        <w:rPr>
          <w:rFonts w:ascii="Arial" w:hAnsi="Arial" w:cs="Arial"/>
          <w:sz w:val="20"/>
        </w:rPr>
        <w:t xml:space="preserve">IDENTIFICACIÓN DE LOS BIENES: </w:t>
      </w:r>
    </w:p>
    <w:p w:rsidR="00F20117" w:rsidRDefault="00F20117" w:rsidP="00F20117">
      <w:pPr>
        <w:spacing w:line="406" w:lineRule="auto"/>
        <w:ind w:left="703"/>
        <w:rPr>
          <w:rFonts w:ascii="Arial" w:eastAsia="Arial" w:hAnsi="Arial" w:cs="Arial"/>
          <w:b/>
          <w:sz w:val="20"/>
        </w:rPr>
      </w:pPr>
      <w:r w:rsidRPr="0021286E">
        <w:rPr>
          <w:rFonts w:ascii="Arial" w:eastAsia="Arial" w:hAnsi="Arial" w:cs="Arial"/>
          <w:b/>
          <w:sz w:val="20"/>
        </w:rPr>
        <w:t xml:space="preserve">SE CEDE CRÉDITO CON </w:t>
      </w:r>
      <w:r>
        <w:rPr>
          <w:rFonts w:ascii="Arial" w:eastAsia="Arial" w:hAnsi="Arial" w:cs="Arial"/>
          <w:b/>
          <w:sz w:val="20"/>
        </w:rPr>
        <w:t>LOS ACCESORIOS QUE SE DETALLAN A CONTINUACIÓN:</w:t>
      </w:r>
    </w:p>
    <w:p w:rsidR="00F20117" w:rsidRPr="0021286E" w:rsidRDefault="00F20117" w:rsidP="00F20117">
      <w:pPr>
        <w:spacing w:line="406" w:lineRule="auto"/>
        <w:ind w:left="703"/>
        <w:rPr>
          <w:rFonts w:ascii="Arial" w:hAnsi="Arial" w:cs="Arial"/>
          <w:sz w:val="20"/>
        </w:rPr>
      </w:pPr>
      <w:r>
        <w:rPr>
          <w:rFonts w:ascii="Arial" w:hAnsi="Arial" w:cs="Arial"/>
          <w:b/>
          <w:sz w:val="20"/>
        </w:rPr>
        <w:t xml:space="preserve">2.3.1 </w:t>
      </w:r>
      <w:r w:rsidRPr="0021286E">
        <w:rPr>
          <w:rFonts w:ascii="Arial" w:hAnsi="Arial" w:cs="Arial"/>
          <w:b/>
          <w:sz w:val="20"/>
        </w:rPr>
        <w:t>HIPOTECA</w:t>
      </w:r>
      <w:r w:rsidRPr="0021286E">
        <w:rPr>
          <w:rFonts w:ascii="Arial" w:hAnsi="Arial" w:cs="Arial"/>
          <w:sz w:val="20"/>
        </w:rPr>
        <w:t xml:space="preserve">: Sobre el inmueble padrón 2632 con una superficie de 1997,41 m2., total del área construida, 3.259 m2, de la 1ª. Sección Judicial de Maldonado, Punta del Este, Manzana Catastral 710., ubicado en la </w:t>
      </w:r>
      <w:proofErr w:type="spellStart"/>
      <w:r w:rsidRPr="0021286E">
        <w:rPr>
          <w:rFonts w:ascii="Arial" w:hAnsi="Arial" w:cs="Arial"/>
          <w:sz w:val="20"/>
        </w:rPr>
        <w:t>Pedragosa</w:t>
      </w:r>
      <w:proofErr w:type="spellEnd"/>
      <w:r w:rsidRPr="0021286E">
        <w:rPr>
          <w:rFonts w:ascii="Arial" w:hAnsi="Arial" w:cs="Arial"/>
          <w:sz w:val="20"/>
        </w:rPr>
        <w:t xml:space="preserve"> Sierra S/N°, a metros de Av. Roosevelt, a dos cuadras de Punta Shopping en la zona comercial, con buena conectividad hacia la Península, Maldonado y Zona Este, con disponibilidad de servicios e infraestructura, donde funcionaba el Hotel Sisai Boutique. </w:t>
      </w:r>
    </w:p>
    <w:p w:rsidR="00F20117" w:rsidRPr="0021286E" w:rsidRDefault="00F20117" w:rsidP="00F20117">
      <w:pPr>
        <w:spacing w:line="406" w:lineRule="auto"/>
        <w:ind w:left="703"/>
        <w:rPr>
          <w:rFonts w:ascii="Arial" w:hAnsi="Arial" w:cs="Arial"/>
          <w:sz w:val="20"/>
        </w:rPr>
      </w:pPr>
      <w:r w:rsidRPr="0021286E">
        <w:rPr>
          <w:rFonts w:ascii="Arial" w:hAnsi="Arial" w:cs="Arial"/>
          <w:sz w:val="20"/>
        </w:rPr>
        <w:t>Escritura inscripta en la DGR de Maldonado el 16/07/2010, con el N° 608988, ampliación inscripta el 17/01/2013, con el N° 16514.</w:t>
      </w:r>
    </w:p>
    <w:p w:rsidR="00F20117" w:rsidRDefault="00F20117" w:rsidP="00F20117">
      <w:pPr>
        <w:spacing w:after="4" w:line="361" w:lineRule="auto"/>
        <w:ind w:left="709" w:right="55"/>
        <w:rPr>
          <w:rFonts w:ascii="Arial" w:eastAsia="Arial" w:hAnsi="Arial" w:cs="Arial"/>
          <w:color w:val="000000" w:themeColor="text1"/>
          <w:sz w:val="20"/>
        </w:rPr>
      </w:pPr>
      <w:r w:rsidRPr="0080356E">
        <w:rPr>
          <w:rFonts w:ascii="Arial" w:eastAsia="Arial" w:hAnsi="Arial" w:cs="Arial"/>
          <w:color w:val="000000" w:themeColor="text1"/>
          <w:sz w:val="20"/>
        </w:rPr>
        <w:t>La</w:t>
      </w:r>
      <w:r>
        <w:rPr>
          <w:rFonts w:ascii="Arial" w:eastAsia="Arial" w:hAnsi="Arial" w:cs="Arial"/>
          <w:color w:val="000000" w:themeColor="text1"/>
          <w:sz w:val="20"/>
        </w:rPr>
        <w:t>s</w:t>
      </w:r>
      <w:r w:rsidRPr="0080356E">
        <w:rPr>
          <w:rFonts w:ascii="Arial" w:eastAsia="Arial" w:hAnsi="Arial" w:cs="Arial"/>
          <w:color w:val="000000" w:themeColor="text1"/>
          <w:sz w:val="20"/>
        </w:rPr>
        <w:t xml:space="preserve"> </w:t>
      </w:r>
      <w:r>
        <w:rPr>
          <w:rFonts w:ascii="Arial" w:eastAsia="Arial" w:hAnsi="Arial" w:cs="Arial"/>
          <w:color w:val="000000" w:themeColor="text1"/>
          <w:sz w:val="20"/>
        </w:rPr>
        <w:t xml:space="preserve">acciones de la </w:t>
      </w:r>
      <w:r w:rsidRPr="0080356E">
        <w:rPr>
          <w:rFonts w:ascii="Arial" w:eastAsia="Arial" w:hAnsi="Arial" w:cs="Arial"/>
          <w:color w:val="000000" w:themeColor="text1"/>
          <w:sz w:val="20"/>
        </w:rPr>
        <w:t xml:space="preserve">ejecución </w:t>
      </w:r>
      <w:r>
        <w:rPr>
          <w:rFonts w:ascii="Arial" w:eastAsia="Arial" w:hAnsi="Arial" w:cs="Arial"/>
          <w:color w:val="000000" w:themeColor="text1"/>
          <w:sz w:val="20"/>
        </w:rPr>
        <w:t>Hipotecaria fueron iniciadas</w:t>
      </w:r>
      <w:r w:rsidRPr="0080356E">
        <w:rPr>
          <w:rFonts w:ascii="Arial" w:eastAsia="Arial" w:hAnsi="Arial" w:cs="Arial"/>
          <w:color w:val="000000" w:themeColor="text1"/>
          <w:sz w:val="20"/>
        </w:rPr>
        <w:t xml:space="preserve"> ante el Juzgado Letrado en lo Civil de 19no. Turno (expediente </w:t>
      </w:r>
      <w:r>
        <w:rPr>
          <w:rFonts w:ascii="Arial" w:eastAsia="Arial" w:hAnsi="Arial" w:cs="Arial"/>
          <w:color w:val="000000" w:themeColor="text1"/>
          <w:sz w:val="20"/>
        </w:rPr>
        <w:t>IUE -</w:t>
      </w:r>
      <w:r w:rsidRPr="0080356E">
        <w:rPr>
          <w:rFonts w:ascii="Arial" w:eastAsia="Arial" w:hAnsi="Arial" w:cs="Arial"/>
          <w:color w:val="000000" w:themeColor="text1"/>
          <w:sz w:val="20"/>
        </w:rPr>
        <w:t xml:space="preserve">39-18/2023) las cuales contienen los títulos de adeudo y garantías objeto de este llamado. </w:t>
      </w:r>
    </w:p>
    <w:p w:rsidR="00F20117" w:rsidRPr="00721661" w:rsidRDefault="00F20117" w:rsidP="00F20117">
      <w:pPr>
        <w:spacing w:after="4" w:line="361" w:lineRule="auto"/>
        <w:ind w:left="709" w:right="55"/>
        <w:rPr>
          <w:rFonts w:ascii="Arial" w:hAnsi="Arial" w:cs="Arial"/>
          <w:b/>
          <w:color w:val="000000" w:themeColor="text1"/>
          <w:sz w:val="20"/>
        </w:rPr>
      </w:pPr>
      <w:r w:rsidRPr="00721661">
        <w:rPr>
          <w:rFonts w:ascii="Arial" w:eastAsia="Arial" w:hAnsi="Arial" w:cs="Arial"/>
          <w:b/>
          <w:color w:val="000000" w:themeColor="text1"/>
          <w:sz w:val="20"/>
        </w:rPr>
        <w:t>2.3.2 – FIANZA SOLIDARIA.</w:t>
      </w:r>
    </w:p>
    <w:p w:rsidR="00F20117" w:rsidRPr="0080356E" w:rsidRDefault="00F20117" w:rsidP="00F20117">
      <w:pPr>
        <w:spacing w:after="4" w:line="361" w:lineRule="auto"/>
        <w:ind w:left="693" w:right="55"/>
        <w:rPr>
          <w:rFonts w:ascii="Arial" w:hAnsi="Arial" w:cs="Arial"/>
          <w:color w:val="000000" w:themeColor="text1"/>
          <w:sz w:val="20"/>
        </w:rPr>
      </w:pPr>
    </w:p>
    <w:p w:rsidR="00F20117" w:rsidRPr="0021286E" w:rsidRDefault="00F20117" w:rsidP="00F20117">
      <w:pPr>
        <w:numPr>
          <w:ilvl w:val="1"/>
          <w:numId w:val="22"/>
        </w:numPr>
        <w:spacing w:after="96" w:line="259" w:lineRule="auto"/>
        <w:ind w:right="55" w:hanging="410"/>
        <w:rPr>
          <w:rFonts w:ascii="Arial" w:hAnsi="Arial" w:cs="Arial"/>
          <w:sz w:val="20"/>
        </w:rPr>
      </w:pPr>
      <w:r w:rsidRPr="0021286E">
        <w:rPr>
          <w:rFonts w:ascii="Arial" w:hAnsi="Arial" w:cs="Arial"/>
          <w:sz w:val="20"/>
        </w:rPr>
        <w:t xml:space="preserve">CONDICIONES GENERALES:  </w:t>
      </w:r>
    </w:p>
    <w:p w:rsidR="00F20117" w:rsidRPr="0021286E" w:rsidRDefault="00F20117" w:rsidP="00F20117">
      <w:pPr>
        <w:numPr>
          <w:ilvl w:val="2"/>
          <w:numId w:val="22"/>
        </w:numPr>
        <w:spacing w:after="96" w:line="259" w:lineRule="auto"/>
        <w:ind w:right="55" w:hanging="574"/>
        <w:rPr>
          <w:rFonts w:ascii="Arial" w:hAnsi="Arial" w:cs="Arial"/>
          <w:sz w:val="20"/>
        </w:rPr>
      </w:pPr>
      <w:r w:rsidRPr="0021286E">
        <w:rPr>
          <w:rFonts w:ascii="Arial" w:hAnsi="Arial" w:cs="Arial"/>
          <w:sz w:val="20"/>
        </w:rPr>
        <w:t xml:space="preserve">Fecha, hora y lugar </w:t>
      </w:r>
      <w:bookmarkStart w:id="0" w:name="_GoBack"/>
      <w:bookmarkEnd w:id="0"/>
      <w:r w:rsidRPr="0021286E">
        <w:rPr>
          <w:rFonts w:ascii="Arial" w:hAnsi="Arial" w:cs="Arial"/>
          <w:sz w:val="20"/>
        </w:rPr>
        <w:t xml:space="preserve">para la presentación y apertura de ofertas: </w:t>
      </w:r>
    </w:p>
    <w:p w:rsidR="00F20117" w:rsidRPr="0021286E" w:rsidRDefault="00F20117" w:rsidP="00F20117">
      <w:pPr>
        <w:spacing w:after="98"/>
        <w:ind w:left="1428" w:right="50"/>
        <w:rPr>
          <w:rFonts w:ascii="Arial" w:hAnsi="Arial" w:cs="Arial"/>
          <w:sz w:val="20"/>
        </w:rPr>
      </w:pPr>
      <w:r w:rsidRPr="0021286E">
        <w:rPr>
          <w:rFonts w:ascii="Arial" w:hAnsi="Arial" w:cs="Arial"/>
          <w:sz w:val="20"/>
        </w:rPr>
        <w:t xml:space="preserve">Fecha: </w:t>
      </w:r>
      <w:r w:rsidR="009A413E" w:rsidRPr="009A413E">
        <w:rPr>
          <w:rFonts w:ascii="Arial" w:hAnsi="Arial" w:cs="Arial"/>
          <w:b/>
          <w:sz w:val="20"/>
        </w:rPr>
        <w:t>12</w:t>
      </w:r>
      <w:r w:rsidRPr="009A413E">
        <w:rPr>
          <w:rFonts w:ascii="Arial" w:eastAsia="Arial" w:hAnsi="Arial" w:cs="Arial"/>
          <w:b/>
          <w:sz w:val="20"/>
        </w:rPr>
        <w:t>/06/2023</w:t>
      </w:r>
      <w:r w:rsidRPr="009A413E">
        <w:rPr>
          <w:rFonts w:ascii="Arial" w:hAnsi="Arial" w:cs="Arial"/>
          <w:b/>
          <w:sz w:val="20"/>
        </w:rPr>
        <w:t xml:space="preserve"> </w:t>
      </w:r>
    </w:p>
    <w:p w:rsidR="00F20117" w:rsidRPr="0021286E" w:rsidRDefault="00F20117" w:rsidP="00F20117">
      <w:pPr>
        <w:spacing w:after="127"/>
        <w:ind w:left="1428" w:right="55"/>
        <w:rPr>
          <w:rFonts w:ascii="Arial" w:hAnsi="Arial" w:cs="Arial"/>
          <w:sz w:val="20"/>
        </w:rPr>
      </w:pPr>
      <w:r w:rsidRPr="0021286E">
        <w:rPr>
          <w:rFonts w:ascii="Arial" w:hAnsi="Arial" w:cs="Arial"/>
          <w:sz w:val="20"/>
        </w:rPr>
        <w:t xml:space="preserve">Hora: </w:t>
      </w:r>
      <w:r w:rsidRPr="0021286E">
        <w:rPr>
          <w:rFonts w:ascii="Arial" w:eastAsia="Arial" w:hAnsi="Arial" w:cs="Arial"/>
          <w:b/>
          <w:sz w:val="20"/>
        </w:rPr>
        <w:t xml:space="preserve">15:30 </w:t>
      </w:r>
      <w:proofErr w:type="spellStart"/>
      <w:r w:rsidRPr="0021286E">
        <w:rPr>
          <w:rFonts w:ascii="Arial" w:eastAsia="Arial" w:hAnsi="Arial" w:cs="Arial"/>
          <w:b/>
          <w:sz w:val="20"/>
        </w:rPr>
        <w:t>hs</w:t>
      </w:r>
      <w:proofErr w:type="spellEnd"/>
      <w:r w:rsidRPr="0021286E">
        <w:rPr>
          <w:rFonts w:ascii="Arial" w:hAnsi="Arial" w:cs="Arial"/>
          <w:sz w:val="20"/>
        </w:rPr>
        <w:t xml:space="preserve"> </w:t>
      </w:r>
    </w:p>
    <w:p w:rsidR="00F20117" w:rsidRPr="0021286E" w:rsidRDefault="00F20117" w:rsidP="00F20117">
      <w:pPr>
        <w:spacing w:after="98"/>
        <w:ind w:left="1428" w:right="50"/>
        <w:rPr>
          <w:rFonts w:ascii="Arial" w:hAnsi="Arial" w:cs="Arial"/>
          <w:sz w:val="20"/>
        </w:rPr>
      </w:pPr>
      <w:r w:rsidRPr="0021286E">
        <w:rPr>
          <w:rFonts w:ascii="Arial" w:hAnsi="Arial" w:cs="Arial"/>
          <w:sz w:val="20"/>
        </w:rPr>
        <w:t xml:space="preserve">Lugar: </w:t>
      </w:r>
      <w:r w:rsidRPr="0021286E">
        <w:rPr>
          <w:rFonts w:ascii="Arial" w:eastAsia="Arial" w:hAnsi="Arial" w:cs="Arial"/>
          <w:b/>
          <w:sz w:val="20"/>
        </w:rPr>
        <w:t xml:space="preserve">Edificio “Misiones”, Cerrito 450 – P.B. - Montevideo. </w:t>
      </w:r>
    </w:p>
    <w:p w:rsidR="00F20117" w:rsidRDefault="00F20117" w:rsidP="00F20117">
      <w:pPr>
        <w:numPr>
          <w:ilvl w:val="2"/>
          <w:numId w:val="22"/>
        </w:numPr>
        <w:spacing w:after="98" w:line="259" w:lineRule="auto"/>
        <w:ind w:right="55" w:hanging="574"/>
        <w:rPr>
          <w:rFonts w:ascii="Arial" w:hAnsi="Arial" w:cs="Arial"/>
          <w:sz w:val="20"/>
        </w:rPr>
      </w:pPr>
      <w:r w:rsidRPr="0021286E">
        <w:rPr>
          <w:rFonts w:ascii="Arial" w:hAnsi="Arial" w:cs="Arial"/>
          <w:sz w:val="20"/>
        </w:rPr>
        <w:t xml:space="preserve">Presentación de ofertas: </w:t>
      </w:r>
    </w:p>
    <w:p w:rsidR="00F20117" w:rsidRPr="00F1501F" w:rsidRDefault="00F20117" w:rsidP="00F20117">
      <w:pPr>
        <w:numPr>
          <w:ilvl w:val="3"/>
          <w:numId w:val="22"/>
        </w:numPr>
        <w:spacing w:after="3" w:line="362" w:lineRule="auto"/>
        <w:ind w:right="55" w:hanging="821"/>
        <w:rPr>
          <w:rFonts w:ascii="Arial" w:hAnsi="Arial" w:cs="Arial"/>
          <w:color w:val="FF0000"/>
          <w:sz w:val="20"/>
        </w:rPr>
      </w:pPr>
      <w:r w:rsidRPr="0021286E">
        <w:rPr>
          <w:rFonts w:ascii="Arial" w:hAnsi="Arial" w:cs="Arial"/>
          <w:sz w:val="20"/>
        </w:rPr>
        <w:t>Cada participante presentará su oferta</w:t>
      </w:r>
      <w:r>
        <w:rPr>
          <w:rFonts w:ascii="Arial" w:hAnsi="Arial" w:cs="Arial"/>
          <w:sz w:val="20"/>
        </w:rPr>
        <w:t xml:space="preserve">, en Dólares USA, </w:t>
      </w:r>
      <w:r w:rsidRPr="0021286E">
        <w:rPr>
          <w:rFonts w:ascii="Arial" w:hAnsi="Arial" w:cs="Arial"/>
          <w:sz w:val="20"/>
        </w:rPr>
        <w:t xml:space="preserve">en sobre cerrado dirigido al Gerente </w:t>
      </w:r>
      <w:r>
        <w:rPr>
          <w:rFonts w:ascii="Arial" w:hAnsi="Arial" w:cs="Arial"/>
          <w:sz w:val="20"/>
        </w:rPr>
        <w:t>del Departamento de Recuperación Corporativa del Área</w:t>
      </w:r>
      <w:r w:rsidRPr="0021286E">
        <w:rPr>
          <w:rFonts w:ascii="Arial" w:hAnsi="Arial" w:cs="Arial"/>
          <w:sz w:val="20"/>
        </w:rPr>
        <w:t xml:space="preserve"> Recuperación del BROU, con el número de referencia del llamado a expresión de in</w:t>
      </w:r>
      <w:r>
        <w:rPr>
          <w:rFonts w:ascii="Arial" w:hAnsi="Arial" w:cs="Arial"/>
          <w:sz w:val="20"/>
        </w:rPr>
        <w:t>terés en el anverso del mismo (</w:t>
      </w:r>
      <w:r w:rsidRPr="008446B6">
        <w:rPr>
          <w:rFonts w:ascii="Arial" w:hAnsi="Arial" w:cs="Arial"/>
          <w:b/>
          <w:sz w:val="20"/>
        </w:rPr>
        <w:t>N°</w:t>
      </w:r>
      <w:r>
        <w:rPr>
          <w:rFonts w:ascii="Arial" w:hAnsi="Arial" w:cs="Arial"/>
          <w:sz w:val="20"/>
        </w:rPr>
        <w:t xml:space="preserve"> </w:t>
      </w:r>
      <w:r w:rsidRPr="00C82FB8">
        <w:rPr>
          <w:rFonts w:ascii="Arial" w:hAnsi="Arial" w:cs="Arial"/>
          <w:b/>
          <w:sz w:val="20"/>
        </w:rPr>
        <w:t>2023/51/0385</w:t>
      </w:r>
      <w:r w:rsidRPr="008B0D79">
        <w:rPr>
          <w:rFonts w:ascii="Arial" w:hAnsi="Arial" w:cs="Arial"/>
          <w:b/>
          <w:sz w:val="20"/>
        </w:rPr>
        <w:t>1</w:t>
      </w:r>
      <w:r w:rsidRPr="008B0D79">
        <w:rPr>
          <w:rFonts w:ascii="Arial" w:hAnsi="Arial" w:cs="Arial"/>
          <w:sz w:val="20"/>
        </w:rPr>
        <w:t xml:space="preserve">). </w:t>
      </w:r>
    </w:p>
    <w:p w:rsidR="00F20117" w:rsidRPr="0021286E" w:rsidRDefault="00F20117" w:rsidP="00F20117">
      <w:pPr>
        <w:numPr>
          <w:ilvl w:val="3"/>
          <w:numId w:val="22"/>
        </w:numPr>
        <w:spacing w:after="3" w:line="362" w:lineRule="auto"/>
        <w:ind w:right="55" w:hanging="821"/>
        <w:rPr>
          <w:rFonts w:ascii="Arial" w:hAnsi="Arial" w:cs="Arial"/>
          <w:sz w:val="20"/>
        </w:rPr>
      </w:pPr>
      <w:r w:rsidRPr="0021286E">
        <w:rPr>
          <w:rFonts w:ascii="Arial" w:hAnsi="Arial" w:cs="Arial"/>
          <w:sz w:val="20"/>
        </w:rPr>
        <w:t xml:space="preserve">En la misma se deberá establecer expresamente su aprobación a lo estipulado en las bases de este llamado, adjuntando un juego de estas bases firmadas en conformidad en sus cuatro fojas por el oferente o su representante legal (este último debidamente acreditado notarialmente como tal). </w:t>
      </w:r>
    </w:p>
    <w:p w:rsidR="00F20117" w:rsidRPr="0021286E" w:rsidRDefault="00F20117" w:rsidP="00F20117">
      <w:pPr>
        <w:numPr>
          <w:ilvl w:val="3"/>
          <w:numId w:val="22"/>
        </w:numPr>
        <w:spacing w:after="3" w:line="362" w:lineRule="auto"/>
        <w:ind w:right="55" w:hanging="821"/>
        <w:rPr>
          <w:rFonts w:ascii="Arial" w:hAnsi="Arial" w:cs="Arial"/>
          <w:sz w:val="20"/>
        </w:rPr>
      </w:pPr>
      <w:r w:rsidRPr="0021286E">
        <w:rPr>
          <w:rFonts w:ascii="Arial" w:hAnsi="Arial" w:cs="Arial"/>
          <w:sz w:val="20"/>
        </w:rPr>
        <w:lastRenderedPageBreak/>
        <w:t>Dentro del sobre y junto con la oferta deberá aco</w:t>
      </w:r>
      <w:r>
        <w:rPr>
          <w:rFonts w:ascii="Arial" w:hAnsi="Arial" w:cs="Arial"/>
          <w:sz w:val="20"/>
        </w:rPr>
        <w:t>mpañarse, si el oferente es: 2</w:t>
      </w:r>
      <w:r w:rsidRPr="0021286E">
        <w:rPr>
          <w:rFonts w:ascii="Arial" w:hAnsi="Arial" w:cs="Arial"/>
          <w:sz w:val="20"/>
        </w:rPr>
        <w:t>.</w:t>
      </w:r>
      <w:r>
        <w:rPr>
          <w:rFonts w:ascii="Arial" w:hAnsi="Arial" w:cs="Arial"/>
          <w:sz w:val="20"/>
        </w:rPr>
        <w:t>4.2.3.1</w:t>
      </w:r>
      <w:r w:rsidRPr="0021286E">
        <w:rPr>
          <w:rFonts w:ascii="Arial" w:hAnsi="Arial" w:cs="Arial"/>
          <w:sz w:val="20"/>
        </w:rPr>
        <w:t xml:space="preserve">) PERSONA FÍSICA: Fotocopia (simple) de cédula de identidad y certificado notarial actual que controle firma, domicilio y actividad económica principal. </w:t>
      </w:r>
    </w:p>
    <w:p w:rsidR="00F20117" w:rsidRPr="0021286E" w:rsidRDefault="00F20117" w:rsidP="00F20117">
      <w:pPr>
        <w:numPr>
          <w:ilvl w:val="4"/>
          <w:numId w:val="22"/>
        </w:numPr>
        <w:spacing w:after="3" w:line="362" w:lineRule="auto"/>
        <w:ind w:right="55" w:hanging="10"/>
        <w:rPr>
          <w:rFonts w:ascii="Arial" w:hAnsi="Arial" w:cs="Arial"/>
          <w:sz w:val="20"/>
        </w:rPr>
      </w:pPr>
      <w:r w:rsidRPr="0021286E">
        <w:rPr>
          <w:rFonts w:ascii="Arial" w:hAnsi="Arial" w:cs="Arial"/>
          <w:sz w:val="20"/>
        </w:rPr>
        <w:t xml:space="preserve">PERSONA JURÍDICA: Certificado notarial actual que controle: domicilio, personería, vigencia, RUT, actividad económica principal, integrantes o directores, representación y facultades.  </w:t>
      </w:r>
    </w:p>
    <w:p w:rsidR="00F20117" w:rsidRPr="0021286E" w:rsidRDefault="00F20117" w:rsidP="00F20117">
      <w:pPr>
        <w:numPr>
          <w:ilvl w:val="4"/>
          <w:numId w:val="22"/>
        </w:numPr>
        <w:spacing w:after="3" w:line="362" w:lineRule="auto"/>
        <w:ind w:right="55" w:hanging="10"/>
        <w:rPr>
          <w:rFonts w:ascii="Arial" w:hAnsi="Arial" w:cs="Arial"/>
          <w:sz w:val="20"/>
        </w:rPr>
      </w:pPr>
      <w:r w:rsidRPr="0021286E">
        <w:rPr>
          <w:rFonts w:ascii="Arial" w:hAnsi="Arial" w:cs="Arial"/>
          <w:sz w:val="20"/>
        </w:rPr>
        <w:t xml:space="preserve">En todos los casos, se deberá proporcionar teléfono de localización, correo electrónico, domicilio urbano para notificación estableciendo localidad, calle y N° de puerta; o Padrón, manzana y solar. </w:t>
      </w:r>
    </w:p>
    <w:p w:rsidR="00F20117" w:rsidRPr="00FA78AD" w:rsidRDefault="00F20117" w:rsidP="00F20117">
      <w:pPr>
        <w:numPr>
          <w:ilvl w:val="3"/>
          <w:numId w:val="22"/>
        </w:numPr>
        <w:spacing w:after="31" w:line="361" w:lineRule="auto"/>
        <w:ind w:right="55" w:hanging="821"/>
        <w:rPr>
          <w:rFonts w:ascii="Arial" w:hAnsi="Arial" w:cs="Arial"/>
          <w:sz w:val="20"/>
        </w:rPr>
      </w:pPr>
      <w:r w:rsidRPr="00FA78AD">
        <w:rPr>
          <w:rFonts w:ascii="Arial" w:eastAsia="Arial" w:hAnsi="Arial" w:cs="Arial"/>
          <w:sz w:val="20"/>
        </w:rPr>
        <w:t>Dentro del sobre y junto con la oferta deberá adjuntarse además el documento comprobante de haber realizado el depósito correspondiente por mantenimiento de oferta, según lo indicado en el numeral 2.4.3 siguiente</w:t>
      </w:r>
      <w:r w:rsidRPr="00FA78AD">
        <w:rPr>
          <w:rFonts w:ascii="Arial" w:hAnsi="Arial" w:cs="Arial"/>
          <w:sz w:val="20"/>
        </w:rPr>
        <w:t xml:space="preserve">. </w:t>
      </w:r>
    </w:p>
    <w:p w:rsidR="00F20117" w:rsidRPr="0021286E" w:rsidRDefault="00F20117" w:rsidP="00F20117">
      <w:pPr>
        <w:numPr>
          <w:ilvl w:val="2"/>
          <w:numId w:val="22"/>
        </w:numPr>
        <w:spacing w:after="103" w:line="259" w:lineRule="auto"/>
        <w:ind w:right="55" w:hanging="574"/>
        <w:rPr>
          <w:rFonts w:ascii="Arial" w:hAnsi="Arial" w:cs="Arial"/>
          <w:sz w:val="20"/>
        </w:rPr>
      </w:pPr>
      <w:r w:rsidRPr="0021286E">
        <w:rPr>
          <w:rFonts w:ascii="Arial" w:eastAsia="Arial" w:hAnsi="Arial" w:cs="Arial"/>
          <w:b/>
          <w:sz w:val="20"/>
          <w:u w:val="single" w:color="000000"/>
        </w:rPr>
        <w:t>DEPÓSITO COMO GARANTÍA DE MANTENIMIENTO DE OFERTA</w:t>
      </w:r>
      <w:r w:rsidRPr="0021286E">
        <w:rPr>
          <w:rFonts w:ascii="Arial" w:hAnsi="Arial" w:cs="Arial"/>
          <w:sz w:val="20"/>
        </w:rPr>
        <w:t xml:space="preserve">: </w:t>
      </w:r>
    </w:p>
    <w:p w:rsidR="00F20117" w:rsidRDefault="00F20117" w:rsidP="00F20117">
      <w:pPr>
        <w:spacing w:line="360" w:lineRule="auto"/>
        <w:ind w:left="1287" w:right="57"/>
        <w:rPr>
          <w:rFonts w:ascii="Arial" w:hAnsi="Arial" w:cs="Arial"/>
          <w:sz w:val="20"/>
        </w:rPr>
      </w:pPr>
      <w:r w:rsidRPr="0021286E">
        <w:rPr>
          <w:rFonts w:ascii="Arial" w:hAnsi="Arial" w:cs="Arial"/>
          <w:sz w:val="20"/>
        </w:rPr>
        <w:t xml:space="preserve">El postulante </w:t>
      </w:r>
      <w:r w:rsidRPr="0021286E">
        <w:rPr>
          <w:rFonts w:ascii="Arial" w:hAnsi="Arial" w:cs="Arial"/>
          <w:sz w:val="20"/>
          <w:u w:val="single" w:color="000000"/>
        </w:rPr>
        <w:t>en forma previa</w:t>
      </w:r>
      <w:r w:rsidRPr="0021286E">
        <w:rPr>
          <w:rFonts w:ascii="Arial" w:hAnsi="Arial" w:cs="Arial"/>
          <w:sz w:val="20"/>
        </w:rPr>
        <w:t xml:space="preserve"> deberá realizar en el BROU un depósito en efectivo de </w:t>
      </w:r>
      <w:r w:rsidRPr="0021286E">
        <w:rPr>
          <w:rFonts w:ascii="Arial" w:eastAsia="Arial" w:hAnsi="Arial" w:cs="Arial"/>
          <w:b/>
          <w:sz w:val="20"/>
        </w:rPr>
        <w:t>USD 50.000</w:t>
      </w:r>
      <w:r>
        <w:rPr>
          <w:rFonts w:ascii="Arial" w:eastAsia="Arial" w:hAnsi="Arial" w:cs="Arial"/>
          <w:b/>
          <w:sz w:val="20"/>
        </w:rPr>
        <w:t>.-</w:t>
      </w:r>
      <w:r w:rsidRPr="0021286E">
        <w:rPr>
          <w:rFonts w:ascii="Arial" w:hAnsi="Arial" w:cs="Arial"/>
          <w:sz w:val="20"/>
        </w:rPr>
        <w:t xml:space="preserve"> (</w:t>
      </w:r>
      <w:r w:rsidRPr="0021286E">
        <w:rPr>
          <w:rFonts w:ascii="Arial" w:eastAsia="Arial" w:hAnsi="Arial" w:cs="Arial"/>
          <w:b/>
          <w:sz w:val="20"/>
        </w:rPr>
        <w:t>Dólares USA Cincuenta mil</w:t>
      </w:r>
      <w:r w:rsidRPr="0021286E">
        <w:rPr>
          <w:rFonts w:ascii="Arial" w:hAnsi="Arial" w:cs="Arial"/>
          <w:sz w:val="20"/>
        </w:rPr>
        <w:t xml:space="preserve">) en la </w:t>
      </w:r>
      <w:r w:rsidRPr="0021286E">
        <w:rPr>
          <w:rFonts w:ascii="Arial" w:eastAsia="Arial" w:hAnsi="Arial" w:cs="Arial"/>
          <w:b/>
          <w:sz w:val="20"/>
        </w:rPr>
        <w:t xml:space="preserve">Cuenta Corriente </w:t>
      </w:r>
      <w:r>
        <w:rPr>
          <w:rFonts w:ascii="Arial" w:eastAsia="Arial" w:hAnsi="Arial" w:cs="Arial"/>
          <w:b/>
          <w:sz w:val="20"/>
        </w:rPr>
        <w:t>000000001 Sub cuenta 01697</w:t>
      </w:r>
      <w:r w:rsidRPr="0021286E">
        <w:rPr>
          <w:rFonts w:ascii="Arial" w:hAnsi="Arial" w:cs="Arial"/>
          <w:color w:val="FF0000"/>
          <w:sz w:val="20"/>
        </w:rPr>
        <w:t xml:space="preserve"> </w:t>
      </w:r>
      <w:r w:rsidRPr="0021286E">
        <w:rPr>
          <w:rFonts w:ascii="Arial" w:hAnsi="Arial" w:cs="Arial"/>
          <w:sz w:val="20"/>
        </w:rPr>
        <w:t xml:space="preserve">como garantía de mantenimiento de oferta. Esta garantía operará como sigue: </w:t>
      </w:r>
    </w:p>
    <w:p w:rsidR="00F20117" w:rsidRDefault="00F20117" w:rsidP="00F20117">
      <w:pPr>
        <w:spacing w:line="360" w:lineRule="auto"/>
        <w:ind w:left="1276" w:right="57" w:hanging="142"/>
        <w:rPr>
          <w:rFonts w:ascii="Arial" w:hAnsi="Arial" w:cs="Arial"/>
          <w:sz w:val="20"/>
        </w:rPr>
      </w:pPr>
      <w:r>
        <w:rPr>
          <w:rFonts w:ascii="Arial" w:hAnsi="Arial" w:cs="Arial"/>
          <w:sz w:val="20"/>
        </w:rPr>
        <w:t xml:space="preserve">   </w:t>
      </w:r>
      <w:r w:rsidRPr="00ED4494">
        <w:rPr>
          <w:rFonts w:ascii="Arial" w:hAnsi="Arial" w:cs="Arial"/>
          <w:sz w:val="20"/>
        </w:rPr>
        <w:t xml:space="preserve">El depósito debe ser efectuado con anterioridad a la presentación y apertura de ofertas y su </w:t>
      </w:r>
      <w:r>
        <w:rPr>
          <w:rFonts w:ascii="Arial" w:hAnsi="Arial" w:cs="Arial"/>
          <w:sz w:val="20"/>
        </w:rPr>
        <w:t xml:space="preserve">                   </w:t>
      </w:r>
      <w:r w:rsidRPr="00ED4494">
        <w:rPr>
          <w:rFonts w:ascii="Arial" w:hAnsi="Arial" w:cs="Arial"/>
          <w:sz w:val="20"/>
        </w:rPr>
        <w:t>comprobante pres</w:t>
      </w:r>
      <w:r>
        <w:rPr>
          <w:rFonts w:ascii="Arial" w:hAnsi="Arial" w:cs="Arial"/>
          <w:sz w:val="20"/>
        </w:rPr>
        <w:t>entado en la forma indicada en 2.4.2</w:t>
      </w:r>
    </w:p>
    <w:p w:rsidR="00F20117" w:rsidRDefault="00F20117" w:rsidP="00F20117">
      <w:pPr>
        <w:pStyle w:val="Prrafodelista"/>
        <w:numPr>
          <w:ilvl w:val="3"/>
          <w:numId w:val="22"/>
        </w:numPr>
        <w:spacing w:line="360" w:lineRule="auto"/>
        <w:ind w:left="1276" w:right="57"/>
        <w:contextualSpacing w:val="0"/>
        <w:jc w:val="both"/>
        <w:rPr>
          <w:rFonts w:ascii="Arial" w:hAnsi="Arial" w:cs="Arial"/>
          <w:sz w:val="20"/>
          <w:szCs w:val="20"/>
        </w:rPr>
      </w:pPr>
      <w:r w:rsidRPr="00C3571E">
        <w:rPr>
          <w:rFonts w:ascii="Arial" w:hAnsi="Arial" w:cs="Arial"/>
          <w:sz w:val="20"/>
          <w:szCs w:val="20"/>
        </w:rPr>
        <w:t>El depósito en garantía de mantenimiento de oferta, hecho por el oferente de la propuesta que resulte aceptada por el Banco, se mantendrá en esa calidad hasta que se produzca la integración de la seña de ratificación prevista en la cláusula 2.6.1). En caso de incumplimiento de la parte oferente en realizar esa nueva integración en el tiempo y forma</w:t>
      </w:r>
      <w:r w:rsidRPr="00ED4494">
        <w:rPr>
          <w:rFonts w:ascii="Arial" w:hAnsi="Arial" w:cs="Arial"/>
          <w:sz w:val="20"/>
          <w:szCs w:val="20"/>
        </w:rPr>
        <w:t xml:space="preserve"> previstos, se le tendrá sin más trámite por desistido de su propuesta, quedando la suma constituida en garantía del mantenimiento de la oferta a beneficio del Banco, quien la percibirá definitivamente por concepto de multa, lo cual es conocido y aceptado por el oferente. </w:t>
      </w:r>
    </w:p>
    <w:p w:rsidR="00F20117" w:rsidRPr="00ED4494" w:rsidRDefault="00F20117" w:rsidP="00F20117">
      <w:pPr>
        <w:pStyle w:val="Prrafodelista"/>
        <w:numPr>
          <w:ilvl w:val="3"/>
          <w:numId w:val="22"/>
        </w:numPr>
        <w:spacing w:line="360" w:lineRule="auto"/>
        <w:ind w:left="1276" w:right="57"/>
        <w:contextualSpacing w:val="0"/>
        <w:jc w:val="both"/>
        <w:rPr>
          <w:rFonts w:ascii="Arial" w:hAnsi="Arial" w:cs="Arial"/>
          <w:sz w:val="20"/>
          <w:szCs w:val="20"/>
        </w:rPr>
      </w:pPr>
      <w:r w:rsidRPr="00ED4494">
        <w:rPr>
          <w:rFonts w:ascii="Arial" w:hAnsi="Arial" w:cs="Arial"/>
          <w:sz w:val="20"/>
          <w:szCs w:val="20"/>
        </w:rPr>
        <w:t xml:space="preserve">Los depósitos de ofertas no aceptadas serán reintegrados a sus depositantes, sin intereses, a partir de la notificación de la resolución respectiva.  </w:t>
      </w:r>
    </w:p>
    <w:p w:rsidR="00F20117" w:rsidRPr="007E4C7D" w:rsidRDefault="00F20117" w:rsidP="00F20117">
      <w:pPr>
        <w:numPr>
          <w:ilvl w:val="2"/>
          <w:numId w:val="22"/>
        </w:numPr>
        <w:spacing w:after="4" w:line="360" w:lineRule="auto"/>
        <w:ind w:right="57" w:hanging="574"/>
        <w:rPr>
          <w:rFonts w:ascii="Arial" w:hAnsi="Arial" w:cs="Arial"/>
          <w:color w:val="000000" w:themeColor="text1"/>
          <w:sz w:val="20"/>
        </w:rPr>
      </w:pPr>
      <w:r w:rsidRPr="007E4C7D">
        <w:rPr>
          <w:rFonts w:ascii="Arial" w:eastAsia="Arial" w:hAnsi="Arial" w:cs="Arial"/>
          <w:sz w:val="20"/>
        </w:rPr>
        <w:t xml:space="preserve">Los interesados que aspiren utilizar crédito del BANCO REPÚBLICA deberán tramitar el mismo con la debida antelación, </w:t>
      </w:r>
      <w:r w:rsidRPr="007E4C7D">
        <w:rPr>
          <w:rFonts w:ascii="Arial" w:eastAsia="Arial" w:hAnsi="Arial" w:cs="Arial"/>
          <w:color w:val="000000" w:themeColor="text1"/>
          <w:sz w:val="20"/>
        </w:rPr>
        <w:t>ante el Gerente de Negocios del Área Corporativa del BROU, de su región</w:t>
      </w:r>
      <w:r w:rsidRPr="007E4C7D">
        <w:rPr>
          <w:rFonts w:ascii="Arial" w:hAnsi="Arial" w:cs="Arial"/>
          <w:color w:val="000000" w:themeColor="text1"/>
          <w:sz w:val="20"/>
        </w:rPr>
        <w:t xml:space="preserve">. </w:t>
      </w:r>
    </w:p>
    <w:p w:rsidR="00F20117" w:rsidRPr="0021286E" w:rsidRDefault="00F20117" w:rsidP="00F20117">
      <w:pPr>
        <w:numPr>
          <w:ilvl w:val="2"/>
          <w:numId w:val="22"/>
        </w:numPr>
        <w:spacing w:after="3" w:line="362" w:lineRule="auto"/>
        <w:ind w:right="55" w:hanging="574"/>
        <w:rPr>
          <w:rFonts w:ascii="Arial" w:hAnsi="Arial" w:cs="Arial"/>
          <w:sz w:val="20"/>
        </w:rPr>
      </w:pPr>
      <w:r w:rsidRPr="0021286E">
        <w:rPr>
          <w:rFonts w:ascii="Arial" w:hAnsi="Arial" w:cs="Arial"/>
          <w:sz w:val="20"/>
        </w:rPr>
        <w:t xml:space="preserve">Lo aquí establecido es sin perjuicio de los requisitos que pueda disponer la Unidad de Prevención de Lavado de Activos (UPLA) del BROU en esta materia. </w:t>
      </w:r>
    </w:p>
    <w:p w:rsidR="00F20117" w:rsidRPr="0021286E" w:rsidRDefault="00F20117" w:rsidP="00F20117">
      <w:pPr>
        <w:numPr>
          <w:ilvl w:val="1"/>
          <w:numId w:val="22"/>
        </w:numPr>
        <w:spacing w:after="98" w:line="259" w:lineRule="auto"/>
        <w:ind w:right="55" w:hanging="410"/>
        <w:rPr>
          <w:rFonts w:ascii="Arial" w:hAnsi="Arial" w:cs="Arial"/>
          <w:sz w:val="20"/>
        </w:rPr>
      </w:pPr>
      <w:r w:rsidRPr="0021286E">
        <w:rPr>
          <w:rFonts w:ascii="Arial" w:hAnsi="Arial" w:cs="Arial"/>
          <w:sz w:val="20"/>
        </w:rPr>
        <w:t xml:space="preserve">CONDICIONES PARTICULARES: </w:t>
      </w:r>
    </w:p>
    <w:p w:rsidR="00F20117" w:rsidRPr="0021286E" w:rsidRDefault="00F20117" w:rsidP="00F20117">
      <w:pPr>
        <w:numPr>
          <w:ilvl w:val="2"/>
          <w:numId w:val="22"/>
        </w:numPr>
        <w:spacing w:after="3" w:line="362" w:lineRule="auto"/>
        <w:ind w:right="55" w:hanging="574"/>
        <w:rPr>
          <w:rFonts w:ascii="Arial" w:hAnsi="Arial" w:cs="Arial"/>
          <w:sz w:val="20"/>
        </w:rPr>
      </w:pPr>
      <w:r w:rsidRPr="0021286E">
        <w:rPr>
          <w:rFonts w:ascii="Arial" w:hAnsi="Arial" w:cs="Arial"/>
          <w:sz w:val="20"/>
        </w:rPr>
        <w:t xml:space="preserve">El Banco recibirá de los interesados ofertas por escrito, el día, hora y lugar indicado en las </w:t>
      </w:r>
      <w:r w:rsidRPr="0021286E">
        <w:rPr>
          <w:rFonts w:ascii="Arial" w:eastAsia="Arial" w:hAnsi="Arial" w:cs="Arial"/>
          <w:b/>
          <w:sz w:val="20"/>
        </w:rPr>
        <w:t>CONDICIONES GENERALES</w:t>
      </w:r>
      <w:r w:rsidRPr="0021286E">
        <w:rPr>
          <w:rFonts w:ascii="Arial" w:hAnsi="Arial" w:cs="Arial"/>
          <w:sz w:val="20"/>
        </w:rPr>
        <w:t xml:space="preserve">. Sin embargo, la presentación de la expresión de interés no genera ningún derecho a favor del interesado. Queda entendido que el Banco no se compromete a esperar al vencimiento de dicho plazo, pudiendo en cualquier momento cobrar </w:t>
      </w:r>
      <w:r w:rsidRPr="0021286E">
        <w:rPr>
          <w:rFonts w:ascii="Arial" w:hAnsi="Arial" w:cs="Arial"/>
          <w:sz w:val="20"/>
        </w:rPr>
        <w:lastRenderedPageBreak/>
        <w:t xml:space="preserve">total o parcialmente del deudor los créditos relacionados mientras no se encuentre formalizada la negociación. </w:t>
      </w:r>
    </w:p>
    <w:p w:rsidR="00F20117" w:rsidRPr="0021286E" w:rsidRDefault="00F20117" w:rsidP="00F20117">
      <w:pPr>
        <w:numPr>
          <w:ilvl w:val="2"/>
          <w:numId w:val="22"/>
        </w:numPr>
        <w:spacing w:after="1" w:line="361" w:lineRule="auto"/>
        <w:ind w:right="55" w:hanging="574"/>
        <w:rPr>
          <w:rFonts w:ascii="Arial" w:hAnsi="Arial" w:cs="Arial"/>
          <w:sz w:val="20"/>
        </w:rPr>
      </w:pPr>
      <w:r w:rsidRPr="0021286E">
        <w:rPr>
          <w:rFonts w:ascii="Arial" w:hAnsi="Arial" w:cs="Arial"/>
          <w:sz w:val="20"/>
        </w:rPr>
        <w:t xml:space="preserve">Se entenderá formalizada la negociación solamente con la suscripción por parte del adquirente, y el Banco, del instrumento privado o público que documente la cesión de los créditos. </w:t>
      </w:r>
    </w:p>
    <w:p w:rsidR="00F20117" w:rsidRPr="0021286E" w:rsidRDefault="00F20117" w:rsidP="00F20117">
      <w:pPr>
        <w:numPr>
          <w:ilvl w:val="2"/>
          <w:numId w:val="22"/>
        </w:numPr>
        <w:spacing w:after="3" w:line="362" w:lineRule="auto"/>
        <w:ind w:right="55" w:hanging="574"/>
        <w:rPr>
          <w:rFonts w:ascii="Arial" w:hAnsi="Arial" w:cs="Arial"/>
          <w:sz w:val="20"/>
        </w:rPr>
      </w:pPr>
      <w:r w:rsidRPr="0021286E">
        <w:rPr>
          <w:rFonts w:ascii="Arial" w:hAnsi="Arial" w:cs="Arial"/>
          <w:sz w:val="20"/>
        </w:rPr>
        <w:t xml:space="preserve">Tampoco se compromete el Banco, a contratar con el interesado que efectúe la indicación de oferta económica más elevada, ya que el Banco se reserva el derecho de considerar otros elementos contenidos en la expresión de interés tales como las condiciones de los pagos, el mantenimiento de los niveles de actividad de la o las empresas involucradas, de las fuentes de trabajo, de mejor funcionamiento del mercado u otras consideraciones de interés general. </w:t>
      </w:r>
    </w:p>
    <w:p w:rsidR="00F20117" w:rsidRPr="0021286E" w:rsidRDefault="00F20117" w:rsidP="00F20117">
      <w:pPr>
        <w:numPr>
          <w:ilvl w:val="1"/>
          <w:numId w:val="22"/>
        </w:numPr>
        <w:spacing w:after="96" w:line="259" w:lineRule="auto"/>
        <w:ind w:right="55" w:hanging="410"/>
        <w:rPr>
          <w:rFonts w:ascii="Arial" w:hAnsi="Arial" w:cs="Arial"/>
          <w:sz w:val="20"/>
        </w:rPr>
      </w:pPr>
      <w:r w:rsidRPr="0021286E">
        <w:rPr>
          <w:rFonts w:ascii="Arial" w:hAnsi="Arial" w:cs="Arial"/>
          <w:sz w:val="20"/>
        </w:rPr>
        <w:t xml:space="preserve">CONDICIONES ADICIONALES: Se informa que en caso de ser aceptada la oferta: </w:t>
      </w:r>
    </w:p>
    <w:p w:rsidR="00F20117" w:rsidRPr="0021286E" w:rsidRDefault="00F20117" w:rsidP="00F20117">
      <w:pPr>
        <w:numPr>
          <w:ilvl w:val="2"/>
          <w:numId w:val="22"/>
        </w:numPr>
        <w:spacing w:after="3" w:line="362" w:lineRule="auto"/>
        <w:ind w:right="55" w:hanging="574"/>
        <w:rPr>
          <w:rFonts w:ascii="Arial" w:hAnsi="Arial" w:cs="Arial"/>
          <w:sz w:val="20"/>
        </w:rPr>
      </w:pPr>
      <w:r w:rsidRPr="0021286E">
        <w:rPr>
          <w:rFonts w:ascii="Arial" w:hAnsi="Arial" w:cs="Arial"/>
          <w:sz w:val="20"/>
        </w:rPr>
        <w:t xml:space="preserve">Se concede a la empresa seleccionada un plazo máximo de 15 (quince) días corridos a partir de su notificación para aceptar los términos del acuerdo emergente del llamado. En señal de consentimiento el oferente deberá depositar dentro del plazo antes referido, el 20 (veinte) por ciento de la oferta realizada, teniéndose presente que el monto existente en garantía del mantenimiento de oferta pasará de pleno derecho a formar parte de este nuevo depósito, que tendrá a partir de ese momento y por su totalidad, el carácter de seña de ratificación. En caso de no celebrarse el negocio de cesión en las condiciones explicitadas en las bases del llamado por cualquier hipótesis de incumplimiento del oferente, quedará sin efecto y sin otro trámite el acuerdo, quedando el depósito de la seña de ratificación a beneficio del Banco, quien lo percibirá definitivamente por concepto de multa, acumulable a las acciones por cobro de los eventuales daños y perjuicios derivados del incumplimiento de aquél.  </w:t>
      </w:r>
    </w:p>
    <w:p w:rsidR="00F20117" w:rsidRPr="0021286E" w:rsidRDefault="00F20117" w:rsidP="00F20117">
      <w:pPr>
        <w:numPr>
          <w:ilvl w:val="2"/>
          <w:numId w:val="22"/>
        </w:numPr>
        <w:spacing w:after="3" w:line="362" w:lineRule="auto"/>
        <w:ind w:right="55" w:hanging="574"/>
        <w:rPr>
          <w:rFonts w:ascii="Arial" w:hAnsi="Arial" w:cs="Arial"/>
          <w:sz w:val="20"/>
        </w:rPr>
      </w:pPr>
      <w:r w:rsidRPr="0021286E">
        <w:rPr>
          <w:rFonts w:ascii="Arial" w:hAnsi="Arial" w:cs="Arial"/>
          <w:sz w:val="20"/>
        </w:rPr>
        <w:t xml:space="preserve">La cesión se verificará de acuerdo a las normas legales que rigen al respecto, en la situación en que se encuentren los bienes y que el cesionario declarará conocer y aceptar, en los términos que establezca el cedente. </w:t>
      </w:r>
    </w:p>
    <w:p w:rsidR="00F20117" w:rsidRPr="0021286E" w:rsidRDefault="00F20117" w:rsidP="00F20117">
      <w:pPr>
        <w:numPr>
          <w:ilvl w:val="2"/>
          <w:numId w:val="22"/>
        </w:numPr>
        <w:spacing w:after="3" w:line="362" w:lineRule="auto"/>
        <w:ind w:right="55" w:hanging="574"/>
        <w:rPr>
          <w:rFonts w:ascii="Arial" w:hAnsi="Arial" w:cs="Arial"/>
          <w:sz w:val="20"/>
        </w:rPr>
      </w:pPr>
      <w:r w:rsidRPr="0021286E">
        <w:rPr>
          <w:rFonts w:ascii="Arial" w:hAnsi="Arial" w:cs="Arial"/>
          <w:sz w:val="20"/>
        </w:rPr>
        <w:t xml:space="preserve">La designación del Escribano autorizante de la cesión, corresponderá al cesionario, siendo de su cargo, gastos de inscripción registral y demás erogaciones. </w:t>
      </w:r>
    </w:p>
    <w:p w:rsidR="00F20117" w:rsidRPr="0021286E" w:rsidRDefault="00F20117" w:rsidP="00F20117">
      <w:pPr>
        <w:numPr>
          <w:ilvl w:val="2"/>
          <w:numId w:val="22"/>
        </w:numPr>
        <w:spacing w:after="3" w:line="362" w:lineRule="auto"/>
        <w:ind w:right="55" w:hanging="574"/>
        <w:rPr>
          <w:rFonts w:ascii="Arial" w:hAnsi="Arial" w:cs="Arial"/>
          <w:sz w:val="20"/>
        </w:rPr>
      </w:pPr>
      <w:r w:rsidRPr="0021286E">
        <w:rPr>
          <w:rFonts w:ascii="Arial" w:hAnsi="Arial" w:cs="Arial"/>
          <w:sz w:val="20"/>
        </w:rPr>
        <w:t xml:space="preserve">Será de cargo del cesionario el pago de impuestos municipales, nacionales y todo otro gasto que se pueda generar. </w:t>
      </w:r>
    </w:p>
    <w:p w:rsidR="00F20117" w:rsidRPr="0021286E" w:rsidRDefault="00F20117" w:rsidP="00F20117">
      <w:pPr>
        <w:numPr>
          <w:ilvl w:val="2"/>
          <w:numId w:val="22"/>
        </w:numPr>
        <w:spacing w:after="3" w:line="362" w:lineRule="auto"/>
        <w:ind w:right="55" w:hanging="574"/>
        <w:rPr>
          <w:rFonts w:ascii="Arial" w:hAnsi="Arial" w:cs="Arial"/>
          <w:sz w:val="20"/>
        </w:rPr>
      </w:pPr>
      <w:r w:rsidRPr="0021286E">
        <w:rPr>
          <w:rFonts w:ascii="Arial" w:hAnsi="Arial" w:cs="Arial"/>
          <w:sz w:val="20"/>
        </w:rPr>
        <w:t xml:space="preserve">El BROU se reserva el derecho de aceptar, rechazar o disponer la realización de un nuevo llamado. </w:t>
      </w:r>
    </w:p>
    <w:p w:rsidR="00F20117" w:rsidRPr="0021286E" w:rsidRDefault="00F20117" w:rsidP="00F20117">
      <w:pPr>
        <w:spacing w:after="98"/>
        <w:rPr>
          <w:rFonts w:ascii="Arial" w:hAnsi="Arial" w:cs="Arial"/>
          <w:sz w:val="20"/>
        </w:rPr>
      </w:pPr>
      <w:r w:rsidRPr="0021286E">
        <w:rPr>
          <w:rFonts w:ascii="Arial" w:hAnsi="Arial" w:cs="Arial"/>
          <w:sz w:val="20"/>
        </w:rPr>
        <w:t xml:space="preserve"> </w:t>
      </w:r>
    </w:p>
    <w:p w:rsidR="00F20117" w:rsidRPr="0021286E" w:rsidRDefault="00F20117" w:rsidP="00F20117">
      <w:pPr>
        <w:numPr>
          <w:ilvl w:val="0"/>
          <w:numId w:val="22"/>
        </w:numPr>
        <w:spacing w:after="98" w:line="259" w:lineRule="auto"/>
        <w:ind w:hanging="233"/>
        <w:jc w:val="left"/>
        <w:rPr>
          <w:rFonts w:ascii="Arial" w:hAnsi="Arial" w:cs="Arial"/>
          <w:sz w:val="20"/>
        </w:rPr>
      </w:pPr>
      <w:r w:rsidRPr="0021286E">
        <w:rPr>
          <w:rFonts w:ascii="Arial" w:hAnsi="Arial" w:cs="Arial"/>
          <w:sz w:val="20"/>
          <w:u w:val="single" w:color="000000"/>
        </w:rPr>
        <w:t>DE LA RECEPCIÓN Y APERTURA DE OFERTAS</w:t>
      </w:r>
      <w:r w:rsidRPr="0021286E">
        <w:rPr>
          <w:rFonts w:ascii="Arial" w:hAnsi="Arial" w:cs="Arial"/>
          <w:sz w:val="20"/>
        </w:rPr>
        <w:t xml:space="preserve">. </w:t>
      </w:r>
    </w:p>
    <w:p w:rsidR="00F20117" w:rsidRPr="005A77DD" w:rsidRDefault="00F20117" w:rsidP="00F20117">
      <w:pPr>
        <w:numPr>
          <w:ilvl w:val="1"/>
          <w:numId w:val="22"/>
        </w:numPr>
        <w:spacing w:after="3" w:line="362" w:lineRule="auto"/>
        <w:ind w:right="55" w:hanging="410"/>
        <w:rPr>
          <w:rFonts w:ascii="Arial" w:hAnsi="Arial" w:cs="Arial"/>
          <w:sz w:val="20"/>
        </w:rPr>
      </w:pPr>
      <w:r w:rsidRPr="005A77DD">
        <w:rPr>
          <w:rFonts w:ascii="Arial" w:hAnsi="Arial" w:cs="Arial"/>
          <w:sz w:val="20"/>
        </w:rPr>
        <w:t xml:space="preserve">Se realizará ante Escribano Público en el día, hora y el lugar indicado en el apartado 2.4.1 precedente. </w:t>
      </w:r>
    </w:p>
    <w:p w:rsidR="00F20117" w:rsidRPr="0021286E" w:rsidRDefault="00F20117" w:rsidP="00F20117">
      <w:pPr>
        <w:numPr>
          <w:ilvl w:val="1"/>
          <w:numId w:val="22"/>
        </w:numPr>
        <w:spacing w:after="3" w:line="362" w:lineRule="auto"/>
        <w:ind w:right="55" w:hanging="410"/>
        <w:rPr>
          <w:rFonts w:ascii="Arial" w:hAnsi="Arial" w:cs="Arial"/>
          <w:sz w:val="20"/>
        </w:rPr>
      </w:pPr>
      <w:r w:rsidRPr="0021286E">
        <w:rPr>
          <w:rFonts w:ascii="Arial" w:hAnsi="Arial" w:cs="Arial"/>
          <w:sz w:val="20"/>
        </w:rPr>
        <w:t xml:space="preserve">Una vez analizadas las ofertas y labrada el Acta de apertura, el BROU podrá otorgar a los proponentes un plazo de dos días para salvar los defectos, carencias formales o errores evidentes siempre y cuando no altere materialmente la igualdad de los oferentes. </w:t>
      </w:r>
    </w:p>
    <w:p w:rsidR="00F20117" w:rsidRDefault="00F20117" w:rsidP="00F20117">
      <w:pPr>
        <w:numPr>
          <w:ilvl w:val="1"/>
          <w:numId w:val="22"/>
        </w:numPr>
        <w:spacing w:after="3" w:line="362" w:lineRule="auto"/>
        <w:ind w:right="55" w:hanging="410"/>
        <w:rPr>
          <w:rFonts w:ascii="Arial" w:hAnsi="Arial" w:cs="Arial"/>
          <w:sz w:val="20"/>
        </w:rPr>
      </w:pPr>
      <w:r w:rsidRPr="0021286E">
        <w:rPr>
          <w:rFonts w:ascii="Arial" w:hAnsi="Arial" w:cs="Arial"/>
          <w:sz w:val="20"/>
        </w:rPr>
        <w:t xml:space="preserve">A los efectos de evaluar las propuestas el BROU podrá solicitar a cualquier oferente las aclaraciones necesarias, pero no se podrá pedir ni permitir que modifique su contenido. </w:t>
      </w:r>
    </w:p>
    <w:p w:rsidR="00F20117" w:rsidRPr="00F20117" w:rsidRDefault="00F20117" w:rsidP="00F20117">
      <w:pPr>
        <w:pStyle w:val="Prrafodelista"/>
        <w:spacing w:after="97"/>
        <w:ind w:left="233" w:right="47"/>
        <w:jc w:val="right"/>
        <w:rPr>
          <w:rFonts w:ascii="Arial" w:hAnsi="Arial" w:cs="Arial"/>
          <w:sz w:val="20"/>
          <w:lang w:val="es-UY"/>
        </w:rPr>
      </w:pPr>
      <w:r w:rsidRPr="00F20117">
        <w:rPr>
          <w:rFonts w:ascii="Arial" w:hAnsi="Arial" w:cs="Arial"/>
          <w:i/>
          <w:iCs/>
          <w:sz w:val="20"/>
          <w:lang w:val="es-UY"/>
        </w:rPr>
        <w:lastRenderedPageBreak/>
        <w:t xml:space="preserve">Montevideo, </w:t>
      </w:r>
      <w:proofErr w:type="gramStart"/>
      <w:r w:rsidRPr="00F20117">
        <w:rPr>
          <w:rFonts w:ascii="Arial" w:hAnsi="Arial" w:cs="Arial"/>
          <w:i/>
          <w:iCs/>
          <w:sz w:val="20"/>
          <w:lang w:val="es-UY"/>
        </w:rPr>
        <w:t>Mayo</w:t>
      </w:r>
      <w:proofErr w:type="gramEnd"/>
      <w:r w:rsidRPr="00F20117">
        <w:rPr>
          <w:rFonts w:ascii="Arial" w:hAnsi="Arial" w:cs="Arial"/>
          <w:i/>
          <w:iCs/>
          <w:sz w:val="20"/>
          <w:lang w:val="es-UY"/>
        </w:rPr>
        <w:t xml:space="preserve"> de 2023 </w:t>
      </w:r>
    </w:p>
    <w:p w:rsidR="00F20117" w:rsidRPr="00F20117" w:rsidRDefault="00F20117" w:rsidP="00F20117">
      <w:pPr>
        <w:pStyle w:val="Prrafodelista"/>
        <w:spacing w:after="97"/>
        <w:ind w:left="233" w:right="47"/>
        <w:jc w:val="right"/>
        <w:rPr>
          <w:rFonts w:ascii="Arial" w:hAnsi="Arial" w:cs="Arial"/>
          <w:sz w:val="20"/>
          <w:lang w:val="es-UY" w:eastAsia="en-US"/>
        </w:rPr>
      </w:pPr>
      <w:r w:rsidRPr="00F20117">
        <w:rPr>
          <w:rFonts w:ascii="Arial" w:hAnsi="Arial" w:cs="Arial"/>
          <w:i/>
          <w:iCs/>
          <w:sz w:val="20"/>
          <w:lang w:val="es-UY"/>
        </w:rPr>
        <w:t xml:space="preserve">Banco de la República Oriental del Uruguay </w:t>
      </w:r>
    </w:p>
    <w:p w:rsidR="00F20117" w:rsidRPr="00F20117" w:rsidRDefault="00F20117" w:rsidP="00F20117">
      <w:pPr>
        <w:pStyle w:val="Prrafodelista"/>
        <w:spacing w:after="97"/>
        <w:ind w:left="233" w:right="47"/>
        <w:jc w:val="right"/>
        <w:rPr>
          <w:rFonts w:ascii="Arial" w:hAnsi="Arial" w:cs="Arial"/>
          <w:i/>
          <w:iCs/>
          <w:sz w:val="20"/>
          <w:lang w:val="es-UY"/>
        </w:rPr>
      </w:pPr>
      <w:r w:rsidRPr="00F20117">
        <w:rPr>
          <w:rFonts w:ascii="Arial" w:hAnsi="Arial" w:cs="Arial"/>
          <w:i/>
          <w:iCs/>
          <w:sz w:val="20"/>
          <w:lang w:val="es-UY"/>
        </w:rPr>
        <w:t xml:space="preserve">Depto. de Recuperación de Crédito Corporativo – Gerencia </w:t>
      </w:r>
    </w:p>
    <w:p w:rsidR="00F20117" w:rsidRPr="00F20117" w:rsidRDefault="00F20117" w:rsidP="00F20117">
      <w:pPr>
        <w:spacing w:after="97"/>
        <w:ind w:right="47"/>
        <w:jc w:val="right"/>
        <w:rPr>
          <w:rFonts w:ascii="Arial" w:hAnsi="Arial" w:cs="Arial"/>
          <w:sz w:val="20"/>
          <w:lang w:val="es-UY"/>
        </w:rPr>
      </w:pPr>
      <w:r w:rsidRPr="00F20117">
        <w:rPr>
          <w:rFonts w:ascii="Arial" w:hAnsi="Arial" w:cs="Arial"/>
          <w:i/>
          <w:iCs/>
          <w:sz w:val="20"/>
          <w:lang w:val="es-UY"/>
        </w:rPr>
        <w:t xml:space="preserve">Consultas: Teléfonos: 1896 3115/3028 Mail: </w:t>
      </w:r>
      <w:hyperlink r:id="rId8" w:history="1">
        <w:r w:rsidRPr="00F20117">
          <w:rPr>
            <w:rStyle w:val="Hipervnculo"/>
            <w:rFonts w:ascii="Arial" w:hAnsi="Arial" w:cs="Arial"/>
            <w:i/>
            <w:iCs/>
            <w:sz w:val="20"/>
            <w:lang w:val="es-UY"/>
          </w:rPr>
          <w:t>recuperacioncorporativamegra@brou.com.uy</w:t>
        </w:r>
      </w:hyperlink>
    </w:p>
    <w:p w:rsidR="00F20117" w:rsidRPr="00F20117" w:rsidRDefault="00F20117" w:rsidP="00F20117">
      <w:pPr>
        <w:spacing w:after="3" w:line="362" w:lineRule="auto"/>
        <w:ind w:left="283" w:right="55"/>
        <w:rPr>
          <w:rFonts w:ascii="Arial" w:hAnsi="Arial" w:cs="Arial"/>
          <w:sz w:val="20"/>
          <w:lang w:val="es-UY"/>
        </w:rPr>
      </w:pPr>
    </w:p>
    <w:p w:rsidR="00F534B9" w:rsidRPr="00F20117" w:rsidRDefault="00F534B9" w:rsidP="005C6973">
      <w:pPr>
        <w:rPr>
          <w:lang w:val="es-UY"/>
        </w:rPr>
      </w:pPr>
    </w:p>
    <w:sectPr w:rsidR="00F534B9" w:rsidRPr="00F20117" w:rsidSect="00E55CE1">
      <w:headerReference w:type="default" r:id="rId9"/>
      <w:footerReference w:type="default" r:id="rId10"/>
      <w:pgSz w:w="11907" w:h="16840" w:code="9"/>
      <w:pgMar w:top="1134" w:right="1134" w:bottom="1418" w:left="1134" w:header="113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F1A" w:rsidRDefault="00394F1A">
      <w:r>
        <w:separator/>
      </w:r>
    </w:p>
  </w:endnote>
  <w:endnote w:type="continuationSeparator" w:id="0">
    <w:p w:rsidR="00394F1A" w:rsidRDefault="0039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1A" w:rsidRDefault="00394F1A">
    <w:pPr>
      <w:pStyle w:val="Piedepgina"/>
      <w:jc w:val="center"/>
      <w:rPr>
        <w:rFonts w:ascii="Arial" w:hAnsi="Arial"/>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F1A" w:rsidRDefault="00394F1A">
      <w:r>
        <w:separator/>
      </w:r>
    </w:p>
  </w:footnote>
  <w:footnote w:type="continuationSeparator" w:id="0">
    <w:p w:rsidR="00394F1A" w:rsidRDefault="00394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0000FF"/>
      </w:tblBorders>
      <w:tblLayout w:type="fixed"/>
      <w:tblCellMar>
        <w:left w:w="70" w:type="dxa"/>
        <w:right w:w="70" w:type="dxa"/>
      </w:tblCellMar>
      <w:tblLook w:val="0000" w:firstRow="0" w:lastRow="0" w:firstColumn="0" w:lastColumn="0" w:noHBand="0" w:noVBand="0"/>
    </w:tblPr>
    <w:tblGrid>
      <w:gridCol w:w="3538"/>
      <w:gridCol w:w="6088"/>
    </w:tblGrid>
    <w:tr w:rsidR="00394F1A">
      <w:trPr>
        <w:trHeight w:val="851"/>
        <w:jc w:val="center"/>
      </w:trPr>
      <w:tc>
        <w:tcPr>
          <w:tcW w:w="3538" w:type="dxa"/>
          <w:vAlign w:val="center"/>
        </w:tcPr>
        <w:p w:rsidR="00394F1A" w:rsidRDefault="001F2C75">
          <w:pPr>
            <w:pStyle w:val="Encabezado"/>
          </w:pPr>
          <w:r>
            <w:rPr>
              <w:rFonts w:ascii="Verdana" w:hAnsi="Verdana"/>
              <w:noProof/>
              <w:color w:val="333333"/>
              <w:sz w:val="16"/>
              <w:szCs w:val="16"/>
              <w:lang w:val="es-UY" w:eastAsia="es-UY"/>
            </w:rPr>
            <w:drawing>
              <wp:inline distT="0" distB="0" distL="0" distR="0" wp14:anchorId="200899C6" wp14:editId="04FFF529">
                <wp:extent cx="1753737" cy="361315"/>
                <wp:effectExtent l="0" t="0" r="0" b="635"/>
                <wp:docPr id="1" name="Imagen 1" descr="logo br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r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184" cy="371502"/>
                        </a:xfrm>
                        <a:prstGeom prst="rect">
                          <a:avLst/>
                        </a:prstGeom>
                        <a:noFill/>
                        <a:ln>
                          <a:noFill/>
                        </a:ln>
                      </pic:spPr>
                    </pic:pic>
                  </a:graphicData>
                </a:graphic>
              </wp:inline>
            </w:drawing>
          </w:r>
        </w:p>
      </w:tc>
      <w:tc>
        <w:tcPr>
          <w:tcW w:w="6088" w:type="dxa"/>
          <w:vAlign w:val="bottom"/>
        </w:tcPr>
        <w:p w:rsidR="000F7EEE" w:rsidRPr="001F2C75" w:rsidRDefault="000F7EEE" w:rsidP="000F7EEE">
          <w:pPr>
            <w:pStyle w:val="Encabezado"/>
            <w:jc w:val="right"/>
            <w:rPr>
              <w:rFonts w:ascii="Arial" w:hAnsi="Arial"/>
              <w:b/>
              <w:sz w:val="22"/>
              <w:szCs w:val="22"/>
            </w:rPr>
          </w:pPr>
          <w:r w:rsidRPr="001F2C75">
            <w:rPr>
              <w:rFonts w:ascii="Arial" w:hAnsi="Arial"/>
              <w:b/>
              <w:sz w:val="22"/>
              <w:szCs w:val="22"/>
            </w:rPr>
            <w:t xml:space="preserve">ÁREA </w:t>
          </w:r>
          <w:r w:rsidR="00394F1A" w:rsidRPr="001F2C75">
            <w:rPr>
              <w:rFonts w:ascii="Arial" w:hAnsi="Arial"/>
              <w:b/>
              <w:sz w:val="22"/>
              <w:szCs w:val="22"/>
            </w:rPr>
            <w:t>RECUPERACIÓN</w:t>
          </w:r>
        </w:p>
        <w:p w:rsidR="004E2936" w:rsidRPr="004E2936" w:rsidRDefault="000F7EEE" w:rsidP="000F7EEE">
          <w:pPr>
            <w:pStyle w:val="Encabezado"/>
            <w:jc w:val="right"/>
            <w:rPr>
              <w:rFonts w:ascii="Arial" w:hAnsi="Arial"/>
              <w:b/>
            </w:rPr>
          </w:pPr>
          <w:r w:rsidRPr="001F2C75">
            <w:rPr>
              <w:rFonts w:ascii="Arial" w:hAnsi="Arial"/>
              <w:b/>
              <w:sz w:val="22"/>
              <w:szCs w:val="22"/>
            </w:rPr>
            <w:t>DEPARTAMENTO RECUPERACIÓN CORPORATIVA</w:t>
          </w:r>
        </w:p>
      </w:tc>
    </w:tr>
  </w:tbl>
  <w:p w:rsidR="00394F1A" w:rsidRDefault="00394F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38C3"/>
    <w:multiLevelType w:val="multilevel"/>
    <w:tmpl w:val="F56269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7955971"/>
    <w:multiLevelType w:val="hybridMultilevel"/>
    <w:tmpl w:val="5D284614"/>
    <w:lvl w:ilvl="0" w:tplc="F626A392">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1B1058A5"/>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C9D6AFD"/>
    <w:multiLevelType w:val="multilevel"/>
    <w:tmpl w:val="CD3AD9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94F73C0"/>
    <w:multiLevelType w:val="hybridMultilevel"/>
    <w:tmpl w:val="9D5C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845D7"/>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1431E2F"/>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3F56F0C"/>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97877C6"/>
    <w:multiLevelType w:val="hybridMultilevel"/>
    <w:tmpl w:val="64EAD3B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3CF957B9"/>
    <w:multiLevelType w:val="multilevel"/>
    <w:tmpl w:val="293C71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FAA3C33"/>
    <w:multiLevelType w:val="multilevel"/>
    <w:tmpl w:val="0A10613A"/>
    <w:lvl w:ilvl="0">
      <w:start w:val="1"/>
      <w:numFmt w:val="decimal"/>
      <w:lvlText w:val="%1."/>
      <w:lvlJc w:val="left"/>
      <w:pPr>
        <w:ind w:left="360" w:hanging="360"/>
      </w:pPr>
      <w:rPr>
        <w:rFonts w:ascii="Arial" w:eastAsia="Times New Roman" w:hAnsi="Arial" w:cs="Arial"/>
        <w:b/>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614B5258"/>
    <w:multiLevelType w:val="multilevel"/>
    <w:tmpl w:val="DD74558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1653A94"/>
    <w:multiLevelType w:val="hybridMultilevel"/>
    <w:tmpl w:val="809A1BFA"/>
    <w:lvl w:ilvl="0" w:tplc="512A477A">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15:restartNumberingAfterBreak="0">
    <w:nsid w:val="6196110C"/>
    <w:multiLevelType w:val="multilevel"/>
    <w:tmpl w:val="431ACB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B875D58"/>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CD45331"/>
    <w:multiLevelType w:val="hybridMultilevel"/>
    <w:tmpl w:val="70A03B58"/>
    <w:lvl w:ilvl="0" w:tplc="06BC931E">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6D2C09E2"/>
    <w:multiLevelType w:val="hybridMultilevel"/>
    <w:tmpl w:val="B934B73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6E8D6BA9"/>
    <w:multiLevelType w:val="hybridMultilevel"/>
    <w:tmpl w:val="1F94FA40"/>
    <w:lvl w:ilvl="0" w:tplc="5DE8F094">
      <w:numFmt w:val="bullet"/>
      <w:lvlText w:val="-"/>
      <w:lvlJc w:val="left"/>
      <w:pPr>
        <w:tabs>
          <w:tab w:val="num" w:pos="720"/>
        </w:tabs>
        <w:ind w:left="720" w:hanging="360"/>
      </w:pPr>
      <w:rPr>
        <w:rFonts w:ascii="Comic Sans MS" w:eastAsia="Times New Roman" w:hAnsi="Comic Sans M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6E68BA"/>
    <w:multiLevelType w:val="multilevel"/>
    <w:tmpl w:val="DBACE038"/>
    <w:lvl w:ilvl="0">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2"/>
      <w:numFmt w:val="decimal"/>
      <w:lvlText w:val="%1.%2.%3.%4.%5)"/>
      <w:lvlJc w:val="left"/>
      <w:pPr>
        <w:ind w:left="2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43553FD"/>
    <w:multiLevelType w:val="hybridMultilevel"/>
    <w:tmpl w:val="B5785474"/>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79DE012D"/>
    <w:multiLevelType w:val="hybridMultilevel"/>
    <w:tmpl w:val="F7C29718"/>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1" w15:restartNumberingAfterBreak="0">
    <w:nsid w:val="7F984C3B"/>
    <w:multiLevelType w:val="hybridMultilevel"/>
    <w:tmpl w:val="58DA0630"/>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5"/>
  </w:num>
  <w:num w:numId="5">
    <w:abstractNumId w:val="2"/>
  </w:num>
  <w:num w:numId="6">
    <w:abstractNumId w:val="17"/>
  </w:num>
  <w:num w:numId="7">
    <w:abstractNumId w:val="4"/>
  </w:num>
  <w:num w:numId="8">
    <w:abstractNumId w:val="8"/>
  </w:num>
  <w:num w:numId="9">
    <w:abstractNumId w:val="1"/>
  </w:num>
  <w:num w:numId="10">
    <w:abstractNumId w:val="9"/>
  </w:num>
  <w:num w:numId="11">
    <w:abstractNumId w:val="0"/>
  </w:num>
  <w:num w:numId="12">
    <w:abstractNumId w:val="19"/>
  </w:num>
  <w:num w:numId="13">
    <w:abstractNumId w:val="21"/>
  </w:num>
  <w:num w:numId="14">
    <w:abstractNumId w:val="13"/>
  </w:num>
  <w:num w:numId="15">
    <w:abstractNumId w:val="15"/>
  </w:num>
  <w:num w:numId="16">
    <w:abstractNumId w:val="10"/>
  </w:num>
  <w:num w:numId="17">
    <w:abstractNumId w:val="11"/>
  </w:num>
  <w:num w:numId="18">
    <w:abstractNumId w:val="20"/>
  </w:num>
  <w:num w:numId="19">
    <w:abstractNumId w:val="3"/>
  </w:num>
  <w:num w:numId="20">
    <w:abstractNumId w:val="12"/>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96"/>
    <w:rsid w:val="00007CC6"/>
    <w:rsid w:val="0003376C"/>
    <w:rsid w:val="00047A31"/>
    <w:rsid w:val="00056E0A"/>
    <w:rsid w:val="00073E2C"/>
    <w:rsid w:val="00083F62"/>
    <w:rsid w:val="000A0338"/>
    <w:rsid w:val="000A0F04"/>
    <w:rsid w:val="000A432B"/>
    <w:rsid w:val="000F4010"/>
    <w:rsid w:val="000F7EEE"/>
    <w:rsid w:val="00120D79"/>
    <w:rsid w:val="0014594B"/>
    <w:rsid w:val="0015003F"/>
    <w:rsid w:val="00151DB0"/>
    <w:rsid w:val="0016306D"/>
    <w:rsid w:val="00173596"/>
    <w:rsid w:val="001771DA"/>
    <w:rsid w:val="00185D4A"/>
    <w:rsid w:val="001F2C75"/>
    <w:rsid w:val="0026778E"/>
    <w:rsid w:val="002B126D"/>
    <w:rsid w:val="002C323F"/>
    <w:rsid w:val="002D2666"/>
    <w:rsid w:val="002E6C9A"/>
    <w:rsid w:val="00365F72"/>
    <w:rsid w:val="00394F1A"/>
    <w:rsid w:val="003C1788"/>
    <w:rsid w:val="003F5E58"/>
    <w:rsid w:val="003F61D4"/>
    <w:rsid w:val="00421F6E"/>
    <w:rsid w:val="00430BD9"/>
    <w:rsid w:val="0046075E"/>
    <w:rsid w:val="00473F36"/>
    <w:rsid w:val="004D5F08"/>
    <w:rsid w:val="004E2936"/>
    <w:rsid w:val="004E2A2B"/>
    <w:rsid w:val="0052278B"/>
    <w:rsid w:val="005419C7"/>
    <w:rsid w:val="00543CB7"/>
    <w:rsid w:val="005673B1"/>
    <w:rsid w:val="005B56D9"/>
    <w:rsid w:val="005C3E1E"/>
    <w:rsid w:val="005C6973"/>
    <w:rsid w:val="005E6151"/>
    <w:rsid w:val="005F6CCB"/>
    <w:rsid w:val="006415D1"/>
    <w:rsid w:val="006440ED"/>
    <w:rsid w:val="00663886"/>
    <w:rsid w:val="006D18A2"/>
    <w:rsid w:val="006E2CA3"/>
    <w:rsid w:val="00782D8D"/>
    <w:rsid w:val="00787998"/>
    <w:rsid w:val="007E3357"/>
    <w:rsid w:val="007F16EF"/>
    <w:rsid w:val="0080107A"/>
    <w:rsid w:val="00825A80"/>
    <w:rsid w:val="00861159"/>
    <w:rsid w:val="00876095"/>
    <w:rsid w:val="00881120"/>
    <w:rsid w:val="008B1587"/>
    <w:rsid w:val="008B48DC"/>
    <w:rsid w:val="008B4C76"/>
    <w:rsid w:val="008F26EF"/>
    <w:rsid w:val="0090617F"/>
    <w:rsid w:val="00921939"/>
    <w:rsid w:val="009346A0"/>
    <w:rsid w:val="00936C29"/>
    <w:rsid w:val="00952249"/>
    <w:rsid w:val="00953072"/>
    <w:rsid w:val="00954A31"/>
    <w:rsid w:val="0097051D"/>
    <w:rsid w:val="009977A3"/>
    <w:rsid w:val="009A413E"/>
    <w:rsid w:val="009E0425"/>
    <w:rsid w:val="00A24237"/>
    <w:rsid w:val="00A3056B"/>
    <w:rsid w:val="00A77041"/>
    <w:rsid w:val="00AB6F0C"/>
    <w:rsid w:val="00AC0C86"/>
    <w:rsid w:val="00AF4BAC"/>
    <w:rsid w:val="00AF7231"/>
    <w:rsid w:val="00B058C8"/>
    <w:rsid w:val="00B723A3"/>
    <w:rsid w:val="00C13093"/>
    <w:rsid w:val="00C20EC3"/>
    <w:rsid w:val="00C56111"/>
    <w:rsid w:val="00C57BB3"/>
    <w:rsid w:val="00C76584"/>
    <w:rsid w:val="00CB37BA"/>
    <w:rsid w:val="00CB3B20"/>
    <w:rsid w:val="00CB3FDB"/>
    <w:rsid w:val="00CB7EF8"/>
    <w:rsid w:val="00CC5013"/>
    <w:rsid w:val="00D2692B"/>
    <w:rsid w:val="00DE134F"/>
    <w:rsid w:val="00E42D2C"/>
    <w:rsid w:val="00E55CE1"/>
    <w:rsid w:val="00E90FA2"/>
    <w:rsid w:val="00EA5FBD"/>
    <w:rsid w:val="00ED0B02"/>
    <w:rsid w:val="00EF0AB8"/>
    <w:rsid w:val="00EF4389"/>
    <w:rsid w:val="00F20117"/>
    <w:rsid w:val="00F4572E"/>
    <w:rsid w:val="00F534B9"/>
    <w:rsid w:val="00F67A98"/>
    <w:rsid w:val="00F979FC"/>
    <w:rsid w:val="00FA2B37"/>
    <w:rsid w:val="00FA2BBA"/>
    <w:rsid w:val="00FB2960"/>
    <w:rsid w:val="00FD2566"/>
    <w:rsid w:val="00FE6B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05F95D"/>
  <w15:docId w15:val="{630FD68D-1E8E-4B56-9A6A-FB9CFB11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CE1"/>
    <w:pPr>
      <w:jc w:val="both"/>
    </w:pPr>
    <w:rPr>
      <w:rFonts w:ascii="Bookman Old Style" w:hAnsi="Bookman Old Style"/>
      <w:sz w:val="24"/>
    </w:rPr>
  </w:style>
  <w:style w:type="paragraph" w:styleId="Ttulo1">
    <w:name w:val="heading 1"/>
    <w:basedOn w:val="Normal"/>
    <w:next w:val="Normal"/>
    <w:qFormat/>
    <w:rsid w:val="00E55CE1"/>
    <w:pPr>
      <w:keepNext/>
      <w:jc w:val="center"/>
      <w:outlineLvl w:val="0"/>
    </w:pPr>
    <w:rPr>
      <w:rFonts w:ascii="Arial" w:hAnsi="Arial"/>
      <w:b/>
    </w:rPr>
  </w:style>
  <w:style w:type="paragraph" w:styleId="Ttulo2">
    <w:name w:val="heading 2"/>
    <w:basedOn w:val="Normal"/>
    <w:next w:val="Normal"/>
    <w:qFormat/>
    <w:rsid w:val="00E55CE1"/>
    <w:pPr>
      <w:keepNext/>
      <w:outlineLvl w:val="1"/>
    </w:pPr>
    <w:rPr>
      <w:rFonts w:ascii="Comic Sans MS" w:hAnsi="Comic Sans MS"/>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solucion">
    <w:name w:val="Resolucion"/>
    <w:basedOn w:val="Normal"/>
    <w:rsid w:val="00E55CE1"/>
    <w:pPr>
      <w:tabs>
        <w:tab w:val="left" w:pos="3402"/>
      </w:tabs>
      <w:ind w:left="1134"/>
    </w:pPr>
    <w:rPr>
      <w:snapToGrid w:val="0"/>
      <w:color w:val="000000"/>
    </w:rPr>
  </w:style>
  <w:style w:type="paragraph" w:customStyle="1" w:styleId="Observaciones">
    <w:name w:val="Observaciones"/>
    <w:rsid w:val="00E55CE1"/>
    <w:pPr>
      <w:tabs>
        <w:tab w:val="left" w:pos="1134"/>
      </w:tabs>
      <w:ind w:left="567" w:right="567"/>
      <w:jc w:val="both"/>
    </w:pPr>
    <w:rPr>
      <w:rFonts w:ascii="Arial" w:hAnsi="Arial"/>
      <w:color w:val="000000"/>
      <w:sz w:val="24"/>
    </w:rPr>
  </w:style>
  <w:style w:type="paragraph" w:customStyle="1" w:styleId="Epigrafe">
    <w:name w:val="Epigrafe"/>
    <w:rsid w:val="00E55CE1"/>
    <w:pPr>
      <w:ind w:left="3402"/>
      <w:jc w:val="both"/>
    </w:pPr>
    <w:rPr>
      <w:rFonts w:ascii="Bookman Old Style" w:hAnsi="Bookman Old Style"/>
      <w:sz w:val="24"/>
    </w:rPr>
  </w:style>
  <w:style w:type="paragraph" w:styleId="Ttulo">
    <w:name w:val="Title"/>
    <w:basedOn w:val="Normal"/>
    <w:qFormat/>
    <w:rsid w:val="00E55CE1"/>
    <w:pPr>
      <w:jc w:val="center"/>
    </w:pPr>
    <w:rPr>
      <w:rFonts w:ascii="Arial" w:hAnsi="Arial"/>
      <w:u w:val="single"/>
    </w:rPr>
  </w:style>
  <w:style w:type="paragraph" w:styleId="Subttulo">
    <w:name w:val="Subtitle"/>
    <w:basedOn w:val="Normal"/>
    <w:qFormat/>
    <w:rsid w:val="00E55CE1"/>
    <w:pPr>
      <w:jc w:val="center"/>
    </w:pPr>
    <w:rPr>
      <w:rFonts w:ascii="Arial" w:hAnsi="Arial"/>
      <w:b/>
      <w:i/>
    </w:rPr>
  </w:style>
  <w:style w:type="paragraph" w:styleId="Textoindependiente">
    <w:name w:val="Body Text"/>
    <w:basedOn w:val="Normal"/>
    <w:semiHidden/>
    <w:rsid w:val="00E55CE1"/>
    <w:rPr>
      <w:sz w:val="22"/>
    </w:rPr>
  </w:style>
  <w:style w:type="paragraph" w:styleId="Mapadeldocumento">
    <w:name w:val="Document Map"/>
    <w:basedOn w:val="Normal"/>
    <w:semiHidden/>
    <w:rsid w:val="00E55CE1"/>
    <w:pPr>
      <w:shd w:val="clear" w:color="auto" w:fill="000080"/>
    </w:pPr>
    <w:rPr>
      <w:rFonts w:ascii="Tahoma" w:hAnsi="Tahoma"/>
    </w:rPr>
  </w:style>
  <w:style w:type="paragraph" w:styleId="Encabezado">
    <w:name w:val="header"/>
    <w:basedOn w:val="Normal"/>
    <w:link w:val="EncabezadoCar"/>
    <w:uiPriority w:val="99"/>
    <w:rsid w:val="00E55CE1"/>
    <w:pPr>
      <w:tabs>
        <w:tab w:val="center" w:pos="4419"/>
        <w:tab w:val="right" w:pos="8838"/>
      </w:tabs>
    </w:pPr>
  </w:style>
  <w:style w:type="paragraph" w:styleId="Piedepgina">
    <w:name w:val="footer"/>
    <w:basedOn w:val="Normal"/>
    <w:link w:val="PiedepginaCar"/>
    <w:uiPriority w:val="99"/>
    <w:rsid w:val="00E55CE1"/>
    <w:pPr>
      <w:tabs>
        <w:tab w:val="center" w:pos="4419"/>
        <w:tab w:val="right" w:pos="8838"/>
      </w:tabs>
    </w:pPr>
  </w:style>
  <w:style w:type="paragraph" w:styleId="Sangradetextonormal">
    <w:name w:val="Body Text Indent"/>
    <w:basedOn w:val="Normal"/>
    <w:semiHidden/>
    <w:rsid w:val="00E55CE1"/>
    <w:pPr>
      <w:ind w:left="3119"/>
      <w:jc w:val="left"/>
    </w:pPr>
    <w:rPr>
      <w:rFonts w:ascii="Arial" w:hAnsi="Arial"/>
    </w:rPr>
  </w:style>
  <w:style w:type="paragraph" w:styleId="Sangra2detindependiente">
    <w:name w:val="Body Text Indent 2"/>
    <w:basedOn w:val="Normal"/>
    <w:semiHidden/>
    <w:rsid w:val="00E55CE1"/>
    <w:pPr>
      <w:ind w:firstLine="2977"/>
    </w:pPr>
    <w:rPr>
      <w:rFonts w:ascii="Comic Sans MS" w:hAnsi="Comic Sans MS"/>
    </w:rPr>
  </w:style>
  <w:style w:type="paragraph" w:styleId="Textodeglobo">
    <w:name w:val="Balloon Text"/>
    <w:basedOn w:val="Normal"/>
    <w:semiHidden/>
    <w:rsid w:val="00A77041"/>
    <w:rPr>
      <w:rFonts w:ascii="Tahoma" w:hAnsi="Tahoma" w:cs="Tahoma"/>
      <w:sz w:val="16"/>
      <w:szCs w:val="16"/>
    </w:rPr>
  </w:style>
  <w:style w:type="character" w:customStyle="1" w:styleId="PiedepginaCar">
    <w:name w:val="Pie de página Car"/>
    <w:basedOn w:val="Fuentedeprrafopredeter"/>
    <w:link w:val="Piedepgina"/>
    <w:uiPriority w:val="99"/>
    <w:rsid w:val="000A432B"/>
    <w:rPr>
      <w:rFonts w:ascii="Bookman Old Style" w:hAnsi="Bookman Old Style"/>
      <w:sz w:val="24"/>
    </w:rPr>
  </w:style>
  <w:style w:type="paragraph" w:styleId="Prrafodelista">
    <w:name w:val="List Paragraph"/>
    <w:basedOn w:val="Normal"/>
    <w:uiPriority w:val="34"/>
    <w:qFormat/>
    <w:rsid w:val="001771DA"/>
    <w:pPr>
      <w:ind w:left="720"/>
      <w:contextualSpacing/>
      <w:jc w:val="left"/>
    </w:pPr>
    <w:rPr>
      <w:rFonts w:ascii="Times New Roman" w:hAnsi="Times New Roman"/>
      <w:szCs w:val="24"/>
    </w:rPr>
  </w:style>
  <w:style w:type="character" w:customStyle="1" w:styleId="EncabezadoCar">
    <w:name w:val="Encabezado Car"/>
    <w:link w:val="Encabezado"/>
    <w:uiPriority w:val="99"/>
    <w:rsid w:val="0052278B"/>
    <w:rPr>
      <w:rFonts w:ascii="Bookman Old Style" w:hAnsi="Bookman Old Style"/>
      <w:sz w:val="24"/>
    </w:rPr>
  </w:style>
  <w:style w:type="character" w:styleId="Hipervnculo">
    <w:name w:val="Hyperlink"/>
    <w:basedOn w:val="Fuentedeprrafopredeter"/>
    <w:uiPriority w:val="99"/>
    <w:semiHidden/>
    <w:unhideWhenUsed/>
    <w:rsid w:val="00F201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3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uperacioncorporativamegra@brou.com.u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7000-CA3D-4FF1-8CA9-DC74D9C9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1313</Words>
  <Characters>7070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MAESTRO</vt:lpstr>
    </vt:vector>
  </TitlesOfParts>
  <Company>B.R.O.U.</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MAESTRO</dc:title>
  <dc:creator>B42485</dc:creator>
  <cp:lastModifiedBy>Bozzolasco, Miguel</cp:lastModifiedBy>
  <cp:revision>3</cp:revision>
  <cp:lastPrinted>2023-06-05T18:59:00Z</cp:lastPrinted>
  <dcterms:created xsi:type="dcterms:W3CDTF">2023-06-05T18:59:00Z</dcterms:created>
  <dcterms:modified xsi:type="dcterms:W3CDTF">2023-06-05T19:01:00Z</dcterms:modified>
</cp:coreProperties>
</file>